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7A4F" w14:textId="23C58A87" w:rsidR="00CE4F14" w:rsidRPr="0015288F" w:rsidRDefault="002E5E59" w:rsidP="0015288F">
      <w:pPr>
        <w:pStyle w:val="berschrift3"/>
        <w:numPr>
          <w:ilvl w:val="0"/>
          <w:numId w:val="0"/>
        </w:numPr>
        <w:rPr>
          <w:sz w:val="32"/>
          <w:szCs w:val="36"/>
        </w:rPr>
      </w:pPr>
      <w:bookmarkStart w:id="0" w:name="_Toc2083247"/>
      <w:bookmarkStart w:id="1" w:name="_Ref535490091"/>
      <w:r>
        <w:rPr>
          <w:sz w:val="32"/>
          <w:szCs w:val="36"/>
        </w:rPr>
        <w:t xml:space="preserve">6.2 </w:t>
      </w:r>
      <w:r w:rsidR="00CE4F14" w:rsidRPr="0015288F">
        <w:rPr>
          <w:sz w:val="32"/>
          <w:szCs w:val="36"/>
        </w:rPr>
        <w:t>Umwelt-Ziele</w:t>
      </w:r>
      <w:bookmarkEnd w:id="0"/>
    </w:p>
    <w:p w14:paraId="5371E7DD" w14:textId="525B72E8" w:rsidR="00CE4F14" w:rsidRPr="00B32DCD" w:rsidRDefault="00CE4F14" w:rsidP="00CE4F14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813"/>
        <w:gridCol w:w="1593"/>
        <w:gridCol w:w="2977"/>
        <w:gridCol w:w="1725"/>
        <w:gridCol w:w="1429"/>
      </w:tblGrid>
      <w:tr w:rsidR="00CE4F14" w:rsidRPr="00FA1CD3" w14:paraId="61BBD858" w14:textId="77777777" w:rsidTr="001D54A5">
        <w:trPr>
          <w:trHeight w:val="540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3D8E7D8" w14:textId="77777777" w:rsidR="00CE4F14" w:rsidRPr="00FA1CD3" w:rsidRDefault="00CE4F14" w:rsidP="001D54A5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</w:pPr>
            <w:bookmarkStart w:id="2" w:name="_Hlk531941724"/>
            <w:r w:rsidRPr="00FA1CD3"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  <w:t>Jahr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43432C26" w14:textId="77777777" w:rsidR="00CE4F14" w:rsidRPr="00FA1CD3" w:rsidRDefault="00CE4F14" w:rsidP="001D54A5">
            <w:pPr>
              <w:spacing w:before="0" w:after="0"/>
              <w:ind w:firstLineChars="100" w:firstLine="221"/>
              <w:rPr>
                <w:rFonts w:cs="Arial"/>
                <w:b/>
                <w:i/>
                <w:iCs/>
                <w:szCs w:val="22"/>
                <w:lang w:eastAsia="de-AT"/>
              </w:rPr>
            </w:pPr>
            <w:r w:rsidRPr="00FA1CD3">
              <w:rPr>
                <w:rFonts w:cs="Arial"/>
                <w:b/>
                <w:i/>
                <w:iCs/>
                <w:szCs w:val="22"/>
                <w:lang w:eastAsia="de-AT"/>
              </w:rPr>
              <w:t>Kennzahl</w:t>
            </w:r>
          </w:p>
        </w:tc>
        <w:tc>
          <w:tcPr>
            <w:tcW w:w="1637" w:type="dxa"/>
            <w:vAlign w:val="center"/>
          </w:tcPr>
          <w:p w14:paraId="0301901D" w14:textId="77777777" w:rsidR="00CE4F14" w:rsidRPr="00FA1CD3" w:rsidRDefault="00CE4F14" w:rsidP="001D54A5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  <w:t xml:space="preserve">Quantitatives </w:t>
            </w:r>
            <w:r w:rsidRPr="00FA1CD3"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  <w:t>Ziel (max.)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E0267FF" w14:textId="77777777" w:rsidR="00CE4F14" w:rsidRPr="00FA1CD3" w:rsidRDefault="00CE4F14" w:rsidP="001D54A5">
            <w:pPr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</w:pPr>
            <w:r w:rsidRPr="00FA1CD3"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  <w:t>Überwachungsform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5C9C12" w14:textId="77777777" w:rsidR="00CE4F14" w:rsidRPr="00FA1CD3" w:rsidRDefault="00CE4F14" w:rsidP="001D54A5">
            <w:pPr>
              <w:spacing w:before="0" w:after="0"/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</w:pPr>
            <w:r w:rsidRPr="00FA1CD3"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  <w:t>Verantwortlich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4DC47D1" w14:textId="77777777" w:rsidR="00CE4F14" w:rsidRPr="00FA1CD3" w:rsidRDefault="00CE4F14" w:rsidP="001D54A5">
            <w:pPr>
              <w:spacing w:before="0" w:after="0"/>
              <w:ind w:hanging="21"/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</w:pPr>
            <w:r w:rsidRPr="00FA1CD3">
              <w:rPr>
                <w:rFonts w:cs="Arial"/>
                <w:b/>
                <w:bCs/>
                <w:i/>
                <w:iCs/>
                <w:color w:val="000000"/>
                <w:szCs w:val="22"/>
                <w:lang w:eastAsia="de-AT"/>
              </w:rPr>
              <w:t>Umsetzungs-status</w:t>
            </w:r>
          </w:p>
        </w:tc>
      </w:tr>
      <w:tr w:rsidR="00CE4F14" w:rsidRPr="00FA1CD3" w14:paraId="59232C2F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7E678361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64281127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Reklamationen</w:t>
            </w:r>
          </w:p>
        </w:tc>
        <w:tc>
          <w:tcPr>
            <w:tcW w:w="1637" w:type="dxa"/>
            <w:vAlign w:val="center"/>
          </w:tcPr>
          <w:p w14:paraId="7026FB2D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&lt;</w:t>
            </w:r>
            <w:r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0,7</w:t>
            </w: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 xml:space="preserve"> % / Jahr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27EF0C6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proofErr w:type="spellStart"/>
            <w:r w:rsidRPr="004E29E7">
              <w:rPr>
                <w:rFonts w:cs="Arial"/>
                <w:color w:val="000000"/>
                <w:szCs w:val="22"/>
                <w:lang w:eastAsia="de-AT"/>
              </w:rPr>
              <w:t>Monatl</w:t>
            </w:r>
            <w:proofErr w:type="spellEnd"/>
            <w:r w:rsidRPr="004E29E7">
              <w:rPr>
                <w:rFonts w:cs="Arial"/>
                <w:color w:val="000000"/>
                <w:szCs w:val="22"/>
                <w:lang w:eastAsia="de-AT"/>
              </w:rPr>
              <w:t>. Auswertungen,</w:t>
            </w:r>
          </w:p>
          <w:p w14:paraId="7AE7A67B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jährliche</w:t>
            </w:r>
            <w:r>
              <w:rPr>
                <w:rFonts w:cs="Arial"/>
                <w:color w:val="000000"/>
                <w:szCs w:val="22"/>
                <w:lang w:eastAsia="de-AT"/>
              </w:rPr>
              <w:t xml:space="preserve"> </w:t>
            </w:r>
            <w:r w:rsidRPr="004E29E7">
              <w:rPr>
                <w:rFonts w:cs="Arial"/>
                <w:color w:val="000000"/>
                <w:szCs w:val="22"/>
                <w:lang w:eastAsia="de-AT"/>
              </w:rPr>
              <w:t>Statistiken,</w:t>
            </w:r>
          </w:p>
          <w:p w14:paraId="23EAB29F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Kennzahlenplan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D35400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QM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F4A86D3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laufend </w:t>
            </w:r>
          </w:p>
        </w:tc>
      </w:tr>
      <w:tr w:rsidR="00CE4F14" w:rsidRPr="00FA1CD3" w14:paraId="385A8DE6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562F79E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30C23B7F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Verbesserungen</w:t>
            </w:r>
          </w:p>
        </w:tc>
        <w:tc>
          <w:tcPr>
            <w:tcW w:w="1637" w:type="dxa"/>
            <w:vAlign w:val="center"/>
          </w:tcPr>
          <w:p w14:paraId="26713B79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&gt;30 Vorschläge / Jahr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1035D9B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Maßnahmen-Liste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2AFC8B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QM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127364A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laufend</w:t>
            </w:r>
          </w:p>
        </w:tc>
      </w:tr>
      <w:tr w:rsidR="00CE4F14" w:rsidRPr="00FA1CD3" w14:paraId="2F3C8B6E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502824E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4C4DA454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Beschwerden und Strafen</w:t>
            </w:r>
          </w:p>
        </w:tc>
        <w:tc>
          <w:tcPr>
            <w:tcW w:w="1637" w:type="dxa"/>
            <w:vAlign w:val="center"/>
          </w:tcPr>
          <w:p w14:paraId="59A61AFB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0 Beschwerden / Jahr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6601AC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Bewertungsbericht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5B124D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 GL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8DA069E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bei Bedarf</w:t>
            </w:r>
          </w:p>
        </w:tc>
      </w:tr>
      <w:tr w:rsidR="00CE4F14" w:rsidRPr="00FA1CD3" w14:paraId="6DA65A2E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40BDBEFF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4A5513C7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Abfallmenge</w:t>
            </w:r>
          </w:p>
        </w:tc>
        <w:tc>
          <w:tcPr>
            <w:tcW w:w="1637" w:type="dxa"/>
            <w:vAlign w:val="center"/>
          </w:tcPr>
          <w:p w14:paraId="3CE49CA6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 xml:space="preserve">&lt; </w:t>
            </w:r>
            <w:r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150</w:t>
            </w:r>
          </w:p>
          <w:p w14:paraId="295A609A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proofErr w:type="spellStart"/>
            <w:proofErr w:type="gramStart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To</w:t>
            </w:r>
            <w:proofErr w:type="spellEnd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./</w:t>
            </w:r>
            <w:proofErr w:type="gramEnd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Jahr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38B4B0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Abfallstatistik</w:t>
            </w:r>
          </w:p>
          <w:p w14:paraId="19787505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>
              <w:rPr>
                <w:rFonts w:cs="Arial"/>
                <w:color w:val="000000"/>
                <w:szCs w:val="22"/>
                <w:lang w:eastAsia="de-AT"/>
              </w:rPr>
              <w:t>Stoffstromanalyse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2DF352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UM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26DC549A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monatl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 /</w:t>
            </w: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jährl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</w:t>
            </w:r>
          </w:p>
        </w:tc>
      </w:tr>
      <w:tr w:rsidR="00CE4F14" w:rsidRPr="00FA1CD3" w14:paraId="43BDD4CD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</w:tcPr>
          <w:p w14:paraId="21DE866E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0D7FD34" w14:textId="77777777" w:rsidR="00CE4F14" w:rsidRPr="004E29E7" w:rsidRDefault="00CE4F14" w:rsidP="001D54A5">
            <w:pPr>
              <w:spacing w:before="0" w:after="0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Verpackungs</w:t>
            </w:r>
            <w:r>
              <w:rPr>
                <w:rFonts w:cs="Arial"/>
                <w:iCs/>
                <w:szCs w:val="22"/>
                <w:lang w:eastAsia="de-AT"/>
              </w:rPr>
              <w:t>-</w:t>
            </w:r>
            <w:r w:rsidRPr="004E29E7">
              <w:rPr>
                <w:rFonts w:cs="Arial"/>
                <w:iCs/>
                <w:szCs w:val="22"/>
                <w:lang w:eastAsia="de-AT"/>
              </w:rPr>
              <w:t>material</w:t>
            </w:r>
          </w:p>
        </w:tc>
        <w:tc>
          <w:tcPr>
            <w:tcW w:w="1637" w:type="dxa"/>
            <w:vAlign w:val="center"/>
          </w:tcPr>
          <w:p w14:paraId="2919AC87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 xml:space="preserve">&lt; </w:t>
            </w:r>
            <w:r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10</w:t>
            </w:r>
          </w:p>
          <w:p w14:paraId="58FC7B9A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proofErr w:type="spellStart"/>
            <w:proofErr w:type="gramStart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To</w:t>
            </w:r>
            <w:proofErr w:type="spellEnd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./</w:t>
            </w:r>
            <w:proofErr w:type="gramEnd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Jahr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1EA480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>
              <w:rPr>
                <w:rFonts w:cs="Arial"/>
                <w:color w:val="000000"/>
                <w:szCs w:val="22"/>
                <w:lang w:eastAsia="de-AT"/>
              </w:rPr>
              <w:t>Statistiken</w:t>
            </w:r>
          </w:p>
          <w:p w14:paraId="5799AF5F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Stoffstromanalyse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E9A66E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UM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7A29869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monatl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 /</w:t>
            </w: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jährl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</w:t>
            </w:r>
          </w:p>
        </w:tc>
      </w:tr>
      <w:tr w:rsidR="00CE4F14" w:rsidRPr="00FA1CD3" w14:paraId="6E7591E2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6499A273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74F9F7C8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Stromverbrauch</w:t>
            </w:r>
          </w:p>
        </w:tc>
        <w:tc>
          <w:tcPr>
            <w:tcW w:w="1637" w:type="dxa"/>
            <w:vAlign w:val="center"/>
          </w:tcPr>
          <w:p w14:paraId="34A3A3FA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szCs w:val="22"/>
              </w:rPr>
              <w:t>&lt; 4</w:t>
            </w:r>
            <w:r>
              <w:rPr>
                <w:rFonts w:cs="Arial"/>
                <w:szCs w:val="22"/>
              </w:rPr>
              <w:t>0</w:t>
            </w:r>
            <w:r w:rsidRPr="004E29E7">
              <w:rPr>
                <w:rFonts w:cs="Arial"/>
                <w:szCs w:val="22"/>
              </w:rPr>
              <w:t>00 kWh pro t Output</w:t>
            </w:r>
            <w:r w:rsidRPr="004E29E7">
              <w:rPr>
                <w:rFonts w:cs="Arial"/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4D66C17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>
              <w:rPr>
                <w:rFonts w:cs="Arial"/>
                <w:color w:val="000000"/>
                <w:szCs w:val="22"/>
                <w:lang w:eastAsia="de-AT"/>
              </w:rPr>
              <w:t>Energiestatistik</w:t>
            </w:r>
          </w:p>
          <w:p w14:paraId="30FD5FA9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Stoffstromanalyse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4B9DCE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UM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06F19F49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monatl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</w:t>
            </w:r>
          </w:p>
          <w:p w14:paraId="7E7876E1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>
              <w:rPr>
                <w:rFonts w:cs="Arial"/>
                <w:color w:val="000000"/>
                <w:szCs w:val="22"/>
                <w:lang w:eastAsia="de-AT"/>
              </w:rPr>
              <w:t>/</w:t>
            </w: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jährl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</w:t>
            </w:r>
          </w:p>
        </w:tc>
      </w:tr>
      <w:tr w:rsidR="00CE4F14" w:rsidRPr="00FA1CD3" w14:paraId="02F12FB2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F6A7B45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2307DCC3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Gasverbrauch</w:t>
            </w:r>
          </w:p>
        </w:tc>
        <w:tc>
          <w:tcPr>
            <w:tcW w:w="1637" w:type="dxa"/>
            <w:vAlign w:val="center"/>
          </w:tcPr>
          <w:p w14:paraId="7FACDE62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szCs w:val="22"/>
              </w:rPr>
              <w:t>&lt; 4</w:t>
            </w:r>
            <w:r>
              <w:rPr>
                <w:rFonts w:cs="Arial"/>
                <w:szCs w:val="22"/>
              </w:rPr>
              <w:t>0</w:t>
            </w:r>
            <w:r w:rsidRPr="004E29E7">
              <w:rPr>
                <w:rFonts w:cs="Arial"/>
                <w:szCs w:val="22"/>
              </w:rPr>
              <w:t>00 kWh pro t Outpu</w:t>
            </w:r>
            <w:r>
              <w:rPr>
                <w:rFonts w:cs="Arial"/>
                <w:szCs w:val="22"/>
              </w:rPr>
              <w:t>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5DC42A0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>
              <w:rPr>
                <w:rFonts w:cs="Arial"/>
                <w:color w:val="000000"/>
                <w:szCs w:val="22"/>
                <w:lang w:eastAsia="de-AT"/>
              </w:rPr>
              <w:t>Energiestatistik</w:t>
            </w:r>
          </w:p>
          <w:p w14:paraId="0DF4B2B2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Stoffstromanalyse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77FD79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UM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9440E9B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monatl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 /</w:t>
            </w: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jährl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</w:t>
            </w:r>
          </w:p>
        </w:tc>
      </w:tr>
      <w:tr w:rsidR="00CE4F14" w:rsidRPr="00FA1CD3" w14:paraId="287403D5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</w:tcPr>
          <w:p w14:paraId="79BF7BE7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2014E9F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Wasserverbrauch</w:t>
            </w:r>
          </w:p>
        </w:tc>
        <w:tc>
          <w:tcPr>
            <w:tcW w:w="1637" w:type="dxa"/>
            <w:vAlign w:val="center"/>
          </w:tcPr>
          <w:p w14:paraId="4732045A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&lt; 3000</w:t>
            </w:r>
          </w:p>
          <w:p w14:paraId="64DDBB52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m</w:t>
            </w: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³/Jahr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96835B2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>
              <w:rPr>
                <w:rFonts w:cs="Arial"/>
                <w:color w:val="000000"/>
                <w:szCs w:val="22"/>
                <w:lang w:eastAsia="de-AT"/>
              </w:rPr>
              <w:t>Statistik Wasserverbrauch</w:t>
            </w:r>
          </w:p>
          <w:p w14:paraId="1DE0BFA3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Stoffstromanalyse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249F1D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GL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1F8FFA3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In Arbeit</w:t>
            </w:r>
          </w:p>
        </w:tc>
      </w:tr>
      <w:tr w:rsidR="00CE4F14" w:rsidRPr="00FA1CD3" w14:paraId="12BD101B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5C3C046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14:paraId="41B3F241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Arbeitsunfälle</w:t>
            </w:r>
          </w:p>
        </w:tc>
        <w:tc>
          <w:tcPr>
            <w:tcW w:w="1637" w:type="dxa"/>
            <w:vAlign w:val="center"/>
          </w:tcPr>
          <w:p w14:paraId="2F6183A0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 xml:space="preserve">0 </w:t>
            </w:r>
            <w:proofErr w:type="spellStart"/>
            <w:proofErr w:type="gramStart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Ausfallstd</w:t>
            </w:r>
            <w:proofErr w:type="spellEnd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./</w:t>
            </w:r>
            <w:proofErr w:type="gramEnd"/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 xml:space="preserve"> Jahr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B036D10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Unfallstatistik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7BD3C8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SFK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27878BE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monatl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 /</w:t>
            </w:r>
            <w:proofErr w:type="spellStart"/>
            <w:r>
              <w:rPr>
                <w:rFonts w:cs="Arial"/>
                <w:color w:val="000000"/>
                <w:szCs w:val="22"/>
                <w:lang w:eastAsia="de-AT"/>
              </w:rPr>
              <w:t>jährl</w:t>
            </w:r>
            <w:proofErr w:type="spellEnd"/>
            <w:r>
              <w:rPr>
                <w:rFonts w:cs="Arial"/>
                <w:color w:val="000000"/>
                <w:szCs w:val="22"/>
                <w:lang w:eastAsia="de-AT"/>
              </w:rPr>
              <w:t>.</w:t>
            </w:r>
          </w:p>
        </w:tc>
      </w:tr>
      <w:tr w:rsidR="00CE4F14" w:rsidRPr="00FA1CD3" w14:paraId="4A1A0A0E" w14:textId="77777777" w:rsidTr="001D54A5">
        <w:trPr>
          <w:trHeight w:val="822"/>
        </w:trPr>
        <w:tc>
          <w:tcPr>
            <w:tcW w:w="603" w:type="dxa"/>
            <w:shd w:val="clear" w:color="auto" w:fill="auto"/>
            <w:noWrap/>
            <w:vAlign w:val="center"/>
          </w:tcPr>
          <w:p w14:paraId="7A1F91AE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2018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824B10E" w14:textId="77777777" w:rsidR="00CE4F14" w:rsidRPr="004E29E7" w:rsidRDefault="00CE4F14" w:rsidP="001D54A5">
            <w:pPr>
              <w:spacing w:before="0" w:after="0"/>
              <w:jc w:val="both"/>
              <w:rPr>
                <w:rFonts w:cs="Arial"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iCs/>
                <w:szCs w:val="22"/>
                <w:lang w:eastAsia="de-AT"/>
              </w:rPr>
              <w:t>Krankenstände</w:t>
            </w:r>
          </w:p>
        </w:tc>
        <w:tc>
          <w:tcPr>
            <w:tcW w:w="1637" w:type="dxa"/>
            <w:vAlign w:val="center"/>
          </w:tcPr>
          <w:p w14:paraId="22A92ED8" w14:textId="77777777" w:rsidR="00CE4F14" w:rsidRPr="004E29E7" w:rsidRDefault="00CE4F14" w:rsidP="001D54A5">
            <w:pPr>
              <w:spacing w:before="0" w:after="0"/>
              <w:jc w:val="center"/>
              <w:rPr>
                <w:rFonts w:cs="Arial"/>
                <w:bCs/>
                <w:iCs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bCs/>
                <w:iCs/>
                <w:color w:val="000000"/>
                <w:szCs w:val="22"/>
                <w:lang w:eastAsia="de-AT"/>
              </w:rPr>
              <w:t>&lt; 3%/Jahr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F76D641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>
              <w:rPr>
                <w:rFonts w:cs="Arial"/>
                <w:color w:val="000000"/>
                <w:szCs w:val="22"/>
                <w:lang w:eastAsia="de-AT"/>
              </w:rPr>
              <w:t>Bewertungs</w:t>
            </w:r>
            <w:r w:rsidRPr="004E29E7">
              <w:rPr>
                <w:rFonts w:cs="Arial"/>
                <w:color w:val="000000"/>
                <w:szCs w:val="22"/>
                <w:lang w:eastAsia="de-AT"/>
              </w:rPr>
              <w:t>bericht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0667E3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GL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9CC3500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  <w:lang w:eastAsia="de-AT"/>
              </w:rPr>
            </w:pPr>
            <w:r w:rsidRPr="004E29E7">
              <w:rPr>
                <w:rFonts w:cs="Arial"/>
                <w:color w:val="000000"/>
                <w:szCs w:val="22"/>
                <w:lang w:eastAsia="de-AT"/>
              </w:rPr>
              <w:t>jährlich</w:t>
            </w:r>
          </w:p>
        </w:tc>
      </w:tr>
      <w:bookmarkEnd w:id="2"/>
    </w:tbl>
    <w:p w14:paraId="640098BF" w14:textId="77777777" w:rsidR="00CE4F14" w:rsidRDefault="00CE4F14" w:rsidP="00CE4F14"/>
    <w:p w14:paraId="05F0B32E" w14:textId="77777777" w:rsidR="00CE4F14" w:rsidRDefault="00CE4F14" w:rsidP="00CE4F14">
      <w:pPr>
        <w:spacing w:before="0" w:after="0"/>
      </w:pPr>
      <w:r>
        <w:br w:type="page"/>
      </w:r>
      <w:bookmarkStart w:id="3" w:name="_GoBack"/>
      <w:bookmarkEnd w:id="3"/>
    </w:p>
    <w:p w14:paraId="7E168C60" w14:textId="195415AF" w:rsidR="00CE4F14" w:rsidRPr="00EC7D59" w:rsidRDefault="00CE4F14" w:rsidP="00EC7D59">
      <w:pPr>
        <w:pStyle w:val="berschrift3"/>
        <w:numPr>
          <w:ilvl w:val="0"/>
          <w:numId w:val="0"/>
        </w:numPr>
        <w:rPr>
          <w:sz w:val="36"/>
          <w:szCs w:val="40"/>
        </w:rPr>
      </w:pPr>
      <w:bookmarkStart w:id="4" w:name="_Toc2083248"/>
      <w:r w:rsidRPr="00EC7D59">
        <w:rPr>
          <w:sz w:val="36"/>
          <w:szCs w:val="40"/>
        </w:rPr>
        <w:lastRenderedPageBreak/>
        <w:t>Umwelt-Programm</w:t>
      </w:r>
      <w:bookmarkEnd w:id="1"/>
      <w:bookmarkEnd w:id="4"/>
    </w:p>
    <w:p w14:paraId="42144692" w14:textId="77777777" w:rsidR="00CE4F14" w:rsidRDefault="00CE4F14" w:rsidP="00CE4F14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genauen </w:t>
      </w:r>
      <w:r w:rsidRPr="00B32DCD">
        <w:rPr>
          <w:rFonts w:cs="Arial"/>
          <w:szCs w:val="22"/>
        </w:rPr>
        <w:t xml:space="preserve">Beschreibung der Ziele und Tätigkeiten </w:t>
      </w:r>
      <w:r>
        <w:rPr>
          <w:rFonts w:cs="Arial"/>
          <w:szCs w:val="22"/>
        </w:rPr>
        <w:t xml:space="preserve">bzw. der gesetzten Maßnahmen </w:t>
      </w:r>
      <w:r w:rsidRPr="00B32DCD">
        <w:rPr>
          <w:rFonts w:cs="Arial"/>
          <w:szCs w:val="22"/>
        </w:rPr>
        <w:t xml:space="preserve">des Unternehmens, die </w:t>
      </w:r>
      <w:r>
        <w:rPr>
          <w:rFonts w:cs="Arial"/>
          <w:szCs w:val="22"/>
        </w:rPr>
        <w:t xml:space="preserve">den </w:t>
      </w:r>
      <w:r w:rsidRPr="00B32DCD">
        <w:rPr>
          <w:rFonts w:cs="Arial"/>
          <w:szCs w:val="22"/>
        </w:rPr>
        <w:t>größ</w:t>
      </w:r>
      <w:r>
        <w:rPr>
          <w:rFonts w:cs="Arial"/>
          <w:szCs w:val="22"/>
        </w:rPr>
        <w:t>tmöglichen</w:t>
      </w:r>
      <w:r w:rsidRPr="00B32DCD">
        <w:rPr>
          <w:rFonts w:cs="Arial"/>
          <w:szCs w:val="22"/>
        </w:rPr>
        <w:t xml:space="preserve"> Schutz der Umwelt an </w:t>
      </w:r>
      <w:r>
        <w:rPr>
          <w:rFonts w:cs="Arial"/>
          <w:szCs w:val="22"/>
        </w:rPr>
        <w:t xml:space="preserve">unserem </w:t>
      </w:r>
      <w:r w:rsidRPr="00B32DCD">
        <w:rPr>
          <w:rFonts w:cs="Arial"/>
          <w:szCs w:val="22"/>
        </w:rPr>
        <w:t xml:space="preserve">Standort gewährleisten sollen, </w:t>
      </w:r>
      <w:r>
        <w:rPr>
          <w:rFonts w:cs="Arial"/>
          <w:szCs w:val="22"/>
        </w:rPr>
        <w:t>werden in einer</w:t>
      </w:r>
      <w:r w:rsidRPr="00B32DCD">
        <w:rPr>
          <w:rFonts w:cs="Arial"/>
          <w:szCs w:val="22"/>
        </w:rPr>
        <w:t xml:space="preserve"> Maßnahmen</w:t>
      </w:r>
      <w:r>
        <w:rPr>
          <w:rFonts w:cs="Arial"/>
          <w:szCs w:val="22"/>
        </w:rPr>
        <w:t>liste mit fest</w:t>
      </w:r>
      <w:r w:rsidRPr="00B32DCD">
        <w:rPr>
          <w:rFonts w:cs="Arial"/>
          <w:szCs w:val="22"/>
        </w:rPr>
        <w:t xml:space="preserve">gelegten Fristen </w:t>
      </w:r>
      <w:r>
        <w:rPr>
          <w:rFonts w:cs="Arial"/>
          <w:szCs w:val="22"/>
        </w:rPr>
        <w:t>f</w:t>
      </w:r>
      <w:r w:rsidRPr="00B32DCD">
        <w:rPr>
          <w:rFonts w:cs="Arial"/>
          <w:szCs w:val="22"/>
        </w:rPr>
        <w:t>ür die Durchführung</w:t>
      </w:r>
      <w:r>
        <w:rPr>
          <w:rFonts w:cs="Arial"/>
          <w:szCs w:val="22"/>
        </w:rPr>
        <w:t xml:space="preserve"> eingetragen</w:t>
      </w:r>
      <w:r w:rsidRPr="00B32DCD">
        <w:rPr>
          <w:rFonts w:cs="Arial"/>
          <w:szCs w:val="22"/>
        </w:rPr>
        <w:t>.</w:t>
      </w:r>
    </w:p>
    <w:p w14:paraId="1EE42715" w14:textId="77777777" w:rsidR="00CE4F14" w:rsidRDefault="00CE4F14" w:rsidP="00CE4F14">
      <w:pPr>
        <w:spacing w:before="0" w:after="0" w:line="360" w:lineRule="auto"/>
        <w:rPr>
          <w:rFonts w:cs="Arial"/>
          <w:szCs w:val="22"/>
        </w:rPr>
      </w:pPr>
    </w:p>
    <w:tbl>
      <w:tblPr>
        <w:tblStyle w:val="Tabellenraster"/>
        <w:tblW w:w="10632" w:type="dxa"/>
        <w:jc w:val="center"/>
        <w:tblLook w:val="04A0" w:firstRow="1" w:lastRow="0" w:firstColumn="1" w:lastColumn="0" w:noHBand="0" w:noVBand="1"/>
      </w:tblPr>
      <w:tblGrid>
        <w:gridCol w:w="698"/>
        <w:gridCol w:w="2436"/>
        <w:gridCol w:w="4701"/>
        <w:gridCol w:w="1536"/>
        <w:gridCol w:w="1261"/>
      </w:tblGrid>
      <w:tr w:rsidR="00CE4F14" w14:paraId="0ACD49FA" w14:textId="77777777" w:rsidTr="001D54A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C1484" w14:textId="77777777" w:rsidR="00CE4F14" w:rsidRPr="00B130E7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i/>
                <w:szCs w:val="22"/>
              </w:rPr>
              <w:t>Jahr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BD529" w14:textId="77777777" w:rsidR="00CE4F14" w:rsidRPr="00B130E7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i/>
                <w:szCs w:val="22"/>
              </w:rPr>
              <w:t>Ziel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D4B21" w14:textId="77777777" w:rsidR="00CE4F14" w:rsidRPr="00B130E7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i/>
                <w:szCs w:val="22"/>
              </w:rPr>
              <w:t>Maßnahmen zur Erreichung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80489" w14:textId="77777777" w:rsidR="00CE4F14" w:rsidRPr="00B130E7" w:rsidRDefault="00CE4F14" w:rsidP="001D54A5">
            <w:pPr>
              <w:spacing w:before="0" w:after="0" w:line="360" w:lineRule="auto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B130E7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Umsetzungs-status</w:t>
            </w:r>
          </w:p>
          <w:p w14:paraId="24F2C38E" w14:textId="77777777" w:rsidR="00CE4F14" w:rsidRPr="00B130E7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bCs/>
                <w:i/>
                <w:color w:val="000000"/>
                <w:szCs w:val="22"/>
              </w:rPr>
              <w:t>Termin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4D284" w14:textId="77777777" w:rsidR="00CE4F14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</w:p>
          <w:p w14:paraId="3B4CC0B6" w14:textId="77777777" w:rsidR="00CE4F14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i/>
                <w:szCs w:val="22"/>
              </w:rPr>
              <w:t>Zielwert</w:t>
            </w:r>
          </w:p>
          <w:p w14:paraId="0A89C6C9" w14:textId="77777777" w:rsidR="00CE4F14" w:rsidRPr="00B130E7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(wenn möglich)</w:t>
            </w:r>
          </w:p>
          <w:p w14:paraId="629BB721" w14:textId="77777777" w:rsidR="00CE4F14" w:rsidRPr="00B130E7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</w:p>
        </w:tc>
      </w:tr>
      <w:tr w:rsidR="00CE4F14" w14:paraId="72050CBB" w14:textId="77777777" w:rsidTr="001D54A5">
        <w:trPr>
          <w:jc w:val="center"/>
        </w:trPr>
        <w:tc>
          <w:tcPr>
            <w:tcW w:w="10632" w:type="dxa"/>
            <w:gridSpan w:val="5"/>
            <w:shd w:val="clear" w:color="auto" w:fill="9BCDFF"/>
            <w:vAlign w:val="center"/>
          </w:tcPr>
          <w:p w14:paraId="009BBF43" w14:textId="77777777" w:rsidR="00CE4F14" w:rsidRPr="00B130E7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Nachhaltiges Ressourcenmanagement</w:t>
            </w:r>
          </w:p>
        </w:tc>
      </w:tr>
      <w:tr w:rsidR="00CE4F14" w14:paraId="125DFFA5" w14:textId="77777777" w:rsidTr="001D54A5">
        <w:trPr>
          <w:jc w:val="center"/>
        </w:trPr>
        <w:tc>
          <w:tcPr>
            <w:tcW w:w="709" w:type="dxa"/>
            <w:vMerge w:val="restart"/>
            <w:vAlign w:val="center"/>
          </w:tcPr>
          <w:p w14:paraId="46C66642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2019</w:t>
            </w:r>
          </w:p>
        </w:tc>
        <w:tc>
          <w:tcPr>
            <w:tcW w:w="1985" w:type="dxa"/>
            <w:vMerge w:val="restart"/>
            <w:vAlign w:val="center"/>
          </w:tcPr>
          <w:p w14:paraId="444DCED0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Senkung der Reklamationen</w:t>
            </w:r>
          </w:p>
        </w:tc>
        <w:tc>
          <w:tcPr>
            <w:tcW w:w="5104" w:type="dxa"/>
            <w:vAlign w:val="center"/>
          </w:tcPr>
          <w:p w14:paraId="7803DD6C" w14:textId="77777777" w:rsidR="00CE4F14" w:rsidRDefault="00CE4F14" w:rsidP="001D54A5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Angestrebte Prozessverbesserungen durchführen (Wertstromanalyse von Prozessen wird extern durchgeführt)</w:t>
            </w:r>
          </w:p>
        </w:tc>
        <w:tc>
          <w:tcPr>
            <w:tcW w:w="1559" w:type="dxa"/>
            <w:vAlign w:val="center"/>
          </w:tcPr>
          <w:p w14:paraId="47526C99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2019</w:t>
            </w:r>
          </w:p>
          <w:p w14:paraId="401D06DE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Angebot ist im Haus</w:t>
            </w:r>
          </w:p>
        </w:tc>
        <w:tc>
          <w:tcPr>
            <w:tcW w:w="1275" w:type="dxa"/>
            <w:vAlign w:val="center"/>
          </w:tcPr>
          <w:p w14:paraId="349D51F5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CE4F14" w14:paraId="606A5632" w14:textId="77777777" w:rsidTr="001D54A5">
        <w:trPr>
          <w:jc w:val="center"/>
        </w:trPr>
        <w:tc>
          <w:tcPr>
            <w:tcW w:w="709" w:type="dxa"/>
            <w:vMerge/>
            <w:vAlign w:val="center"/>
          </w:tcPr>
          <w:p w14:paraId="3B25160A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8CB40D9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488375AF" w14:textId="77777777" w:rsidR="00CE4F14" w:rsidRDefault="00CE4F14" w:rsidP="001D54A5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Wöchentliche </w:t>
            </w:r>
            <w:r w:rsidRPr="00FA1CD3">
              <w:rPr>
                <w:rFonts w:cs="Arial"/>
                <w:color w:val="000000"/>
                <w:szCs w:val="22"/>
              </w:rPr>
              <w:t>Qualitätsbesprechun</w:t>
            </w:r>
            <w:r>
              <w:rPr>
                <w:rFonts w:cs="Arial"/>
                <w:color w:val="000000"/>
                <w:szCs w:val="22"/>
              </w:rPr>
              <w:t>gen</w:t>
            </w:r>
          </w:p>
        </w:tc>
        <w:tc>
          <w:tcPr>
            <w:tcW w:w="1559" w:type="dxa"/>
            <w:vAlign w:val="center"/>
          </w:tcPr>
          <w:p w14:paraId="7646A4E5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Laufend 2019</w:t>
            </w:r>
          </w:p>
        </w:tc>
        <w:tc>
          <w:tcPr>
            <w:tcW w:w="1275" w:type="dxa"/>
            <w:vAlign w:val="center"/>
          </w:tcPr>
          <w:p w14:paraId="0F30DBBB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CE4F14" w14:paraId="32808712" w14:textId="77777777" w:rsidTr="001D54A5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A799E05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6B00832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3A3752F6" w14:textId="77777777" w:rsidR="00CE4F14" w:rsidRDefault="00CE4F14" w:rsidP="001D54A5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MA-Schulungen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767750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Laufend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CC3100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CE4F14" w14:paraId="4B044DB5" w14:textId="77777777" w:rsidTr="001D54A5">
        <w:trPr>
          <w:jc w:val="center"/>
        </w:trPr>
        <w:tc>
          <w:tcPr>
            <w:tcW w:w="709" w:type="dxa"/>
            <w:vMerge w:val="restart"/>
            <w:vAlign w:val="center"/>
          </w:tcPr>
          <w:p w14:paraId="07CA8E9D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vMerge w:val="restart"/>
            <w:vAlign w:val="center"/>
          </w:tcPr>
          <w:p w14:paraId="00CDE50C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Senkung der Abfallmengen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75D89FD3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4E29E7">
              <w:rPr>
                <w:rFonts w:cs="Arial"/>
                <w:color w:val="000000"/>
                <w:szCs w:val="22"/>
              </w:rPr>
              <w:t>Abfallwirtschaftskonzept</w:t>
            </w:r>
            <w:r>
              <w:rPr>
                <w:rFonts w:cs="Arial"/>
                <w:color w:val="000000"/>
                <w:szCs w:val="22"/>
              </w:rPr>
              <w:t xml:space="preserve"> ist erstellt und soll weiter über das MA-Informationssystem kommuniziert werden</w:t>
            </w:r>
          </w:p>
        </w:tc>
        <w:tc>
          <w:tcPr>
            <w:tcW w:w="1559" w:type="dxa"/>
            <w:vMerge w:val="restart"/>
            <w:vAlign w:val="center"/>
          </w:tcPr>
          <w:p w14:paraId="127850C6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Laufend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BF8955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CE4F14" w14:paraId="5D142AA0" w14:textId="77777777" w:rsidTr="001D54A5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F25EBB2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CD00EC9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04D4306E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4E29E7">
              <w:rPr>
                <w:rFonts w:cs="Arial"/>
                <w:color w:val="000000"/>
                <w:szCs w:val="22"/>
              </w:rPr>
              <w:t>laufende Unterweisungen der MA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B52A5BB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ACD280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CE4F14" w14:paraId="0FF2F0E2" w14:textId="77777777" w:rsidTr="001D54A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B429D1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53422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Senkung des Wasserverbrauches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259DC3D6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A1CD3">
              <w:rPr>
                <w:rFonts w:cs="Arial"/>
                <w:color w:val="000000"/>
                <w:szCs w:val="22"/>
              </w:rPr>
              <w:t>Projektstart Wasserrücklauf</w:t>
            </w:r>
            <w:r>
              <w:rPr>
                <w:rFonts w:cs="Arial"/>
                <w:color w:val="000000"/>
                <w:szCs w:val="22"/>
              </w:rPr>
              <w:t xml:space="preserve"> bzw. Rückkühlung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6EA729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0F8F23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20% Einsparung</w:t>
            </w:r>
          </w:p>
        </w:tc>
      </w:tr>
      <w:tr w:rsidR="00CE4F14" w14:paraId="5637344A" w14:textId="77777777" w:rsidTr="001D54A5">
        <w:trPr>
          <w:jc w:val="center"/>
        </w:trPr>
        <w:tc>
          <w:tcPr>
            <w:tcW w:w="10632" w:type="dxa"/>
            <w:gridSpan w:val="5"/>
            <w:shd w:val="clear" w:color="auto" w:fill="9BCDFF"/>
            <w:vAlign w:val="center"/>
          </w:tcPr>
          <w:p w14:paraId="760FC64B" w14:textId="77777777" w:rsidR="00CE4F14" w:rsidRPr="00D1128A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D1128A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Allgemeine Verbesserungen des UMS</w:t>
            </w:r>
          </w:p>
        </w:tc>
      </w:tr>
      <w:tr w:rsidR="00CE4F14" w14:paraId="25398B9C" w14:textId="77777777" w:rsidTr="001D54A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DDDD44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2019</w:t>
            </w:r>
          </w:p>
        </w:tc>
        <w:tc>
          <w:tcPr>
            <w:tcW w:w="1985" w:type="dxa"/>
            <w:vAlign w:val="center"/>
          </w:tcPr>
          <w:p w14:paraId="407E4023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Verbesserungsvorschläge im Betrieb fördern</w:t>
            </w:r>
          </w:p>
        </w:tc>
        <w:tc>
          <w:tcPr>
            <w:tcW w:w="5104" w:type="dxa"/>
            <w:vAlign w:val="center"/>
          </w:tcPr>
          <w:p w14:paraId="466F4EAA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KVP</w:t>
            </w:r>
          </w:p>
        </w:tc>
        <w:tc>
          <w:tcPr>
            <w:tcW w:w="1559" w:type="dxa"/>
            <w:vAlign w:val="center"/>
          </w:tcPr>
          <w:p w14:paraId="3729A254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laufend</w:t>
            </w:r>
          </w:p>
        </w:tc>
        <w:tc>
          <w:tcPr>
            <w:tcW w:w="1275" w:type="dxa"/>
            <w:vAlign w:val="center"/>
          </w:tcPr>
          <w:p w14:paraId="534550CC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CE4F14" w14:paraId="08557343" w14:textId="77777777" w:rsidTr="001D54A5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2BADAFEC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vAlign w:val="center"/>
          </w:tcPr>
          <w:p w14:paraId="4142B8D1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Benennung eines Giftbeauftragten</w:t>
            </w:r>
          </w:p>
        </w:tc>
        <w:tc>
          <w:tcPr>
            <w:tcW w:w="5104" w:type="dxa"/>
            <w:vAlign w:val="center"/>
          </w:tcPr>
          <w:p w14:paraId="37B8F9BA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Erweiterung des Sicherheitsstandards</w:t>
            </w:r>
          </w:p>
        </w:tc>
        <w:tc>
          <w:tcPr>
            <w:tcW w:w="1559" w:type="dxa"/>
            <w:vAlign w:val="center"/>
          </w:tcPr>
          <w:p w14:paraId="4E511934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Erl. 20.12.2018</w:t>
            </w:r>
          </w:p>
        </w:tc>
        <w:tc>
          <w:tcPr>
            <w:tcW w:w="1275" w:type="dxa"/>
            <w:vAlign w:val="center"/>
          </w:tcPr>
          <w:p w14:paraId="1840C86B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CE4F14" w14:paraId="191083AE" w14:textId="77777777" w:rsidTr="001D54A5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51338244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vAlign w:val="center"/>
          </w:tcPr>
          <w:p w14:paraId="40195BFF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 w:rsidRPr="00FA1CD3">
              <w:rPr>
                <w:rFonts w:cs="Arial"/>
                <w:i/>
                <w:iCs/>
                <w:szCs w:val="22"/>
              </w:rPr>
              <w:t>Beschwerden</w:t>
            </w:r>
            <w:r>
              <w:rPr>
                <w:rFonts w:cs="Arial"/>
                <w:i/>
                <w:iCs/>
                <w:szCs w:val="22"/>
              </w:rPr>
              <w:t xml:space="preserve"> </w:t>
            </w:r>
            <w:r w:rsidRPr="00FA1CD3">
              <w:rPr>
                <w:rFonts w:cs="Arial"/>
                <w:i/>
                <w:iCs/>
                <w:szCs w:val="22"/>
              </w:rPr>
              <w:t>und Strafen</w:t>
            </w:r>
          </w:p>
        </w:tc>
        <w:tc>
          <w:tcPr>
            <w:tcW w:w="5104" w:type="dxa"/>
            <w:vAlign w:val="center"/>
          </w:tcPr>
          <w:p w14:paraId="27EB11B1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874E33">
              <w:rPr>
                <w:rFonts w:cs="Arial"/>
                <w:color w:val="000000"/>
                <w:szCs w:val="22"/>
              </w:rPr>
              <w:t>Regelungen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74E33">
              <w:rPr>
                <w:rFonts w:cs="Arial"/>
                <w:color w:val="000000"/>
                <w:szCs w:val="22"/>
              </w:rPr>
              <w:t>für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74E33">
              <w:rPr>
                <w:rFonts w:cs="Arial"/>
                <w:color w:val="000000"/>
                <w:szCs w:val="22"/>
              </w:rPr>
              <w:t>die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74E33">
              <w:rPr>
                <w:rFonts w:cs="Arial"/>
                <w:color w:val="000000"/>
                <w:szCs w:val="22"/>
              </w:rPr>
              <w:t>Bearbeitung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74E33">
              <w:rPr>
                <w:rFonts w:cs="Arial"/>
                <w:color w:val="000000"/>
                <w:szCs w:val="22"/>
              </w:rPr>
              <w:t>von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74E33">
              <w:rPr>
                <w:rFonts w:cs="Arial"/>
                <w:color w:val="000000"/>
                <w:szCs w:val="22"/>
              </w:rPr>
              <w:t>Äußerungen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74E33">
              <w:rPr>
                <w:rFonts w:cs="Arial"/>
                <w:color w:val="000000"/>
                <w:szCs w:val="22"/>
              </w:rPr>
              <w:t>und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74E33">
              <w:rPr>
                <w:color w:val="000000"/>
                <w:szCs w:val="22"/>
              </w:rPr>
              <w:t>Beschwerden</w:t>
            </w:r>
            <w:r>
              <w:rPr>
                <w:color w:val="000000"/>
                <w:szCs w:val="22"/>
              </w:rPr>
              <w:t xml:space="preserve"> </w:t>
            </w:r>
            <w:r w:rsidRPr="00874E33">
              <w:rPr>
                <w:rFonts w:cs="Arial"/>
                <w:color w:val="000000"/>
                <w:szCs w:val="22"/>
              </w:rPr>
              <w:t>von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74E33">
              <w:rPr>
                <w:rFonts w:cs="Arial"/>
                <w:color w:val="000000"/>
                <w:szCs w:val="22"/>
              </w:rPr>
              <w:t>außen</w:t>
            </w:r>
            <w:r>
              <w:rPr>
                <w:rFonts w:cs="Arial"/>
                <w:color w:val="000000"/>
                <w:szCs w:val="22"/>
              </w:rPr>
              <w:t>, um eine schnelle Abarbeitung (Abstellmaßnahmen) zu gewährleisten</w:t>
            </w:r>
          </w:p>
        </w:tc>
        <w:tc>
          <w:tcPr>
            <w:tcW w:w="1559" w:type="dxa"/>
            <w:vAlign w:val="center"/>
          </w:tcPr>
          <w:p w14:paraId="001274CB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Erl. Sept. 2018</w:t>
            </w:r>
          </w:p>
        </w:tc>
        <w:tc>
          <w:tcPr>
            <w:tcW w:w="1275" w:type="dxa"/>
            <w:vAlign w:val="center"/>
          </w:tcPr>
          <w:p w14:paraId="5F1739C8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</w:tbl>
    <w:p w14:paraId="2998590B" w14:textId="77777777" w:rsidR="00CE4F14" w:rsidRDefault="00CE4F14" w:rsidP="00CE4F14">
      <w:r>
        <w:br w:type="page"/>
      </w:r>
    </w:p>
    <w:tbl>
      <w:tblPr>
        <w:tblStyle w:val="Tabellenraster"/>
        <w:tblW w:w="10632" w:type="dxa"/>
        <w:tblInd w:w="-998" w:type="dxa"/>
        <w:tblLook w:val="04A0" w:firstRow="1" w:lastRow="0" w:firstColumn="1" w:lastColumn="0" w:noHBand="0" w:noVBand="1"/>
      </w:tblPr>
      <w:tblGrid>
        <w:gridCol w:w="700"/>
        <w:gridCol w:w="2095"/>
        <w:gridCol w:w="4792"/>
        <w:gridCol w:w="1540"/>
        <w:gridCol w:w="1505"/>
      </w:tblGrid>
      <w:tr w:rsidR="00CE4F14" w14:paraId="40790E23" w14:textId="77777777" w:rsidTr="001D54A5">
        <w:trPr>
          <w:trHeight w:val="154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CC2A0" w14:textId="77777777" w:rsidR="00CE4F14" w:rsidRPr="00B130E7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i/>
                <w:szCs w:val="22"/>
              </w:rPr>
              <w:lastRenderedPageBreak/>
              <w:t>Jahr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66D8" w14:textId="77777777" w:rsidR="00CE4F14" w:rsidRPr="00B130E7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i/>
                <w:szCs w:val="22"/>
              </w:rPr>
              <w:t>Ziel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D2377" w14:textId="77777777" w:rsidR="00CE4F14" w:rsidRPr="00B130E7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i/>
                <w:szCs w:val="22"/>
              </w:rPr>
              <w:t>Maßnahmen zur Erreichung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67282" w14:textId="77777777" w:rsidR="00CE4F14" w:rsidRPr="00B130E7" w:rsidRDefault="00CE4F14" w:rsidP="001D54A5">
            <w:pPr>
              <w:spacing w:before="0" w:after="0" w:line="360" w:lineRule="auto"/>
              <w:rPr>
                <w:rFonts w:cs="Arial"/>
                <w:b/>
                <w:bCs/>
                <w:i/>
                <w:iCs/>
                <w:color w:val="000000"/>
                <w:szCs w:val="22"/>
              </w:rPr>
            </w:pPr>
            <w:r w:rsidRPr="00B130E7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Umsetzungs-status</w:t>
            </w:r>
          </w:p>
          <w:p w14:paraId="1913BCBF" w14:textId="77777777" w:rsidR="00CE4F14" w:rsidRPr="00B130E7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bCs/>
                <w:i/>
                <w:color w:val="000000"/>
                <w:szCs w:val="22"/>
              </w:rPr>
              <w:t>Termin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CA4DC" w14:textId="77777777" w:rsidR="00CE4F14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</w:p>
          <w:p w14:paraId="228D4B9D" w14:textId="77777777" w:rsidR="00CE4F14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  <w:r w:rsidRPr="00B130E7">
              <w:rPr>
                <w:rFonts w:cs="Arial"/>
                <w:b/>
                <w:i/>
                <w:szCs w:val="22"/>
              </w:rPr>
              <w:t>Zielwert</w:t>
            </w:r>
          </w:p>
          <w:p w14:paraId="219A88A6" w14:textId="77777777" w:rsidR="00CE4F14" w:rsidRPr="00B130E7" w:rsidRDefault="00CE4F14" w:rsidP="001D54A5">
            <w:pPr>
              <w:spacing w:before="0" w:after="0" w:line="360" w:lineRule="auto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(wenn möglich)</w:t>
            </w:r>
          </w:p>
        </w:tc>
      </w:tr>
      <w:tr w:rsidR="00CE4F14" w14:paraId="12503C1F" w14:textId="77777777" w:rsidTr="001D54A5">
        <w:tc>
          <w:tcPr>
            <w:tcW w:w="10632" w:type="dxa"/>
            <w:gridSpan w:val="5"/>
            <w:shd w:val="clear" w:color="auto" w:fill="9BCDFF"/>
            <w:vAlign w:val="center"/>
          </w:tcPr>
          <w:p w14:paraId="7F2039A4" w14:textId="77777777" w:rsidR="00CE4F14" w:rsidRPr="00874E33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874E33">
              <w:rPr>
                <w:rFonts w:cs="Arial"/>
                <w:b/>
                <w:i/>
                <w:szCs w:val="22"/>
              </w:rPr>
              <w:t>Nachhaltige Materialwirtschaft</w:t>
            </w:r>
          </w:p>
        </w:tc>
      </w:tr>
      <w:tr w:rsidR="00CE4F14" w14:paraId="30CE4F7D" w14:textId="77777777" w:rsidTr="001D54A5">
        <w:trPr>
          <w:trHeight w:val="1063"/>
        </w:trPr>
        <w:tc>
          <w:tcPr>
            <w:tcW w:w="709" w:type="dxa"/>
            <w:tcBorders>
              <w:bottom w:val="single" w:sz="4" w:space="0" w:color="auto"/>
            </w:tcBorders>
          </w:tcPr>
          <w:p w14:paraId="2B1F2856" w14:textId="77777777" w:rsidR="00CE4F14" w:rsidRPr="005738C5" w:rsidRDefault="00CE4F14" w:rsidP="001D54A5">
            <w:r w:rsidRPr="005738C5">
              <w:t>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5B321F" w14:textId="77777777" w:rsidR="00CE4F14" w:rsidRPr="005738C5" w:rsidRDefault="00CE4F14" w:rsidP="001D54A5">
            <w:r w:rsidRPr="005738C5">
              <w:t>Senkung von Verpackungsmaterial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769EC904" w14:textId="77777777" w:rsidR="00CE4F14" w:rsidRPr="005738C5" w:rsidRDefault="00CE4F14" w:rsidP="001D54A5">
            <w:r w:rsidRPr="005738C5">
              <w:t>Ersatz von Einweg zu Mehrwegverpackung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92A506" w14:textId="77777777" w:rsidR="00CE4F14" w:rsidRPr="005738C5" w:rsidRDefault="00CE4F14" w:rsidP="001D54A5">
            <w:r w:rsidRPr="005738C5">
              <w:t>Dez.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D1B9B6" w14:textId="77777777" w:rsidR="00CE4F14" w:rsidRDefault="00CE4F14" w:rsidP="001D54A5">
            <w:r w:rsidRPr="005738C5">
              <w:t xml:space="preserve">Einsparung von 5% </w:t>
            </w:r>
          </w:p>
        </w:tc>
      </w:tr>
      <w:tr w:rsidR="00CE4F14" w14:paraId="5B5E98E5" w14:textId="77777777" w:rsidTr="001D54A5">
        <w:tc>
          <w:tcPr>
            <w:tcW w:w="709" w:type="dxa"/>
            <w:tcBorders>
              <w:bottom w:val="single" w:sz="4" w:space="0" w:color="auto"/>
            </w:tcBorders>
          </w:tcPr>
          <w:p w14:paraId="75CC361D" w14:textId="77777777" w:rsidR="00CE4F14" w:rsidRPr="005738C5" w:rsidRDefault="00CE4F14" w:rsidP="001D54A5">
            <w:r>
              <w:t>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44F038" w14:textId="77777777" w:rsidR="00CE4F14" w:rsidRPr="005738C5" w:rsidRDefault="00CE4F14" w:rsidP="001D54A5">
            <w:r>
              <w:t>Verringerung der Arbeitsstoffe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0DC06D96" w14:textId="77777777" w:rsidR="00CE4F14" w:rsidRPr="005738C5" w:rsidRDefault="00CE4F14" w:rsidP="001D54A5">
            <w:r>
              <w:t>Durchforstung der Arbeitsstoffe und Substitution durch bereits vorhandene Arbeitsstoffe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38D3C8" w14:textId="77777777" w:rsidR="00CE4F14" w:rsidRPr="005738C5" w:rsidRDefault="00CE4F14" w:rsidP="001D54A5">
            <w:r>
              <w:t>März 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2173A6" w14:textId="77777777" w:rsidR="00CE4F14" w:rsidRPr="005738C5" w:rsidRDefault="00CE4F14" w:rsidP="001D54A5">
            <w:r>
              <w:t xml:space="preserve">10% Verringerung der verschiedenen </w:t>
            </w:r>
            <w:proofErr w:type="spellStart"/>
            <w:r>
              <w:t>Arbeitsst</w:t>
            </w:r>
            <w:proofErr w:type="spellEnd"/>
            <w:r>
              <w:t>.</w:t>
            </w:r>
          </w:p>
        </w:tc>
      </w:tr>
      <w:tr w:rsidR="00CE4F14" w14:paraId="792C6343" w14:textId="77777777" w:rsidTr="001D54A5">
        <w:tc>
          <w:tcPr>
            <w:tcW w:w="10632" w:type="dxa"/>
            <w:gridSpan w:val="5"/>
            <w:shd w:val="clear" w:color="auto" w:fill="9BCDFF"/>
            <w:vAlign w:val="center"/>
          </w:tcPr>
          <w:p w14:paraId="571C711E" w14:textId="77777777" w:rsidR="00CE4F14" w:rsidRPr="00874E33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874E33">
              <w:rPr>
                <w:rFonts w:cs="Arial"/>
                <w:b/>
                <w:i/>
                <w:szCs w:val="22"/>
              </w:rPr>
              <w:t>Nachhaltige Energieverwendung</w:t>
            </w:r>
          </w:p>
        </w:tc>
      </w:tr>
      <w:tr w:rsidR="00CE4F14" w14:paraId="3CDAD16E" w14:textId="77777777" w:rsidTr="001D54A5">
        <w:tc>
          <w:tcPr>
            <w:tcW w:w="709" w:type="dxa"/>
            <w:vMerge w:val="restart"/>
            <w:vAlign w:val="center"/>
          </w:tcPr>
          <w:p w14:paraId="36E8F99A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  <w:p w14:paraId="22BC50F4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vMerge w:val="restart"/>
            <w:vAlign w:val="center"/>
          </w:tcPr>
          <w:p w14:paraId="2D7A6979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 w:rsidRPr="00FA1CD3">
              <w:rPr>
                <w:rFonts w:cs="Arial"/>
                <w:i/>
                <w:iCs/>
                <w:szCs w:val="22"/>
              </w:rPr>
              <w:t>Stromverbrauch</w:t>
            </w:r>
            <w:r>
              <w:rPr>
                <w:rFonts w:cs="Arial"/>
                <w:i/>
                <w:iCs/>
                <w:szCs w:val="22"/>
              </w:rPr>
              <w:t xml:space="preserve"> senken</w:t>
            </w:r>
          </w:p>
        </w:tc>
        <w:tc>
          <w:tcPr>
            <w:tcW w:w="5104" w:type="dxa"/>
            <w:vAlign w:val="center"/>
          </w:tcPr>
          <w:p w14:paraId="4C2D0FB6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A1CD3">
              <w:rPr>
                <w:rFonts w:cs="Arial"/>
                <w:color w:val="000000"/>
                <w:szCs w:val="22"/>
              </w:rPr>
              <w:t>Einsatz energieeffizienter Technologien</w:t>
            </w:r>
            <w:r>
              <w:rPr>
                <w:rFonts w:cs="Arial"/>
                <w:color w:val="000000"/>
                <w:szCs w:val="22"/>
              </w:rPr>
              <w:t xml:space="preserve"> bei Austausch der Leuchtmittel</w:t>
            </w:r>
          </w:p>
        </w:tc>
        <w:tc>
          <w:tcPr>
            <w:tcW w:w="1559" w:type="dxa"/>
            <w:vAlign w:val="center"/>
          </w:tcPr>
          <w:p w14:paraId="77C0A144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Dez. 2019</w:t>
            </w:r>
          </w:p>
        </w:tc>
        <w:tc>
          <w:tcPr>
            <w:tcW w:w="1275" w:type="dxa"/>
            <w:vAlign w:val="center"/>
          </w:tcPr>
          <w:p w14:paraId="33F799FA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Einsparung 0,5%</w:t>
            </w:r>
          </w:p>
        </w:tc>
      </w:tr>
      <w:tr w:rsidR="00CE4F14" w14:paraId="24B71C0C" w14:textId="77777777" w:rsidTr="001D54A5">
        <w:tc>
          <w:tcPr>
            <w:tcW w:w="709" w:type="dxa"/>
            <w:vMerge/>
            <w:vAlign w:val="center"/>
          </w:tcPr>
          <w:p w14:paraId="31A138FC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13F517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5104" w:type="dxa"/>
            <w:vAlign w:val="center"/>
          </w:tcPr>
          <w:p w14:paraId="45AE2927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Abschaltung des Druckluft–Kompressors am Wochenende</w:t>
            </w:r>
          </w:p>
        </w:tc>
        <w:tc>
          <w:tcPr>
            <w:tcW w:w="1559" w:type="dxa"/>
            <w:vAlign w:val="center"/>
          </w:tcPr>
          <w:p w14:paraId="456DA70B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Jän</w:t>
            </w:r>
            <w:proofErr w:type="spellEnd"/>
            <w:r>
              <w:rPr>
                <w:rFonts w:cs="Arial"/>
                <w:szCs w:val="22"/>
              </w:rPr>
              <w:t>. 2019</w:t>
            </w:r>
          </w:p>
        </w:tc>
        <w:tc>
          <w:tcPr>
            <w:tcW w:w="1275" w:type="dxa"/>
            <w:vAlign w:val="center"/>
          </w:tcPr>
          <w:p w14:paraId="1AAE1DBA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Einsparung 15%</w:t>
            </w:r>
          </w:p>
        </w:tc>
      </w:tr>
      <w:tr w:rsidR="00CE4F14" w14:paraId="2E2CFDCA" w14:textId="77777777" w:rsidTr="001D54A5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BBCA09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426E4D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 w:rsidRPr="00FA1CD3">
              <w:rPr>
                <w:rFonts w:cs="Arial"/>
                <w:i/>
                <w:iCs/>
                <w:szCs w:val="22"/>
              </w:rPr>
              <w:t>Gasverbrauch</w:t>
            </w:r>
            <w:r>
              <w:rPr>
                <w:rFonts w:cs="Arial"/>
                <w:i/>
                <w:iCs/>
                <w:szCs w:val="22"/>
              </w:rPr>
              <w:t xml:space="preserve"> senken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498E27D6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Umstieg von 4-Schicht auf 3-Schicht</w:t>
            </w:r>
            <w:r w:rsidR="00D43A30">
              <w:rPr>
                <w:rFonts w:cs="Arial"/>
                <w:color w:val="000000"/>
                <w:szCs w:val="22"/>
              </w:rPr>
              <w:t>-</w:t>
            </w:r>
            <w:r>
              <w:rPr>
                <w:rFonts w:cs="Arial"/>
                <w:color w:val="000000"/>
                <w:szCs w:val="22"/>
              </w:rPr>
              <w:t>Betrieb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9B087F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Juli 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A1D31D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Einsparung 15%</w:t>
            </w:r>
          </w:p>
        </w:tc>
      </w:tr>
      <w:tr w:rsidR="00CE4F14" w14:paraId="1BD6FFFC" w14:textId="77777777" w:rsidTr="001D54A5">
        <w:tc>
          <w:tcPr>
            <w:tcW w:w="10632" w:type="dxa"/>
            <w:gridSpan w:val="5"/>
            <w:shd w:val="clear" w:color="auto" w:fill="9BCDFF"/>
            <w:vAlign w:val="center"/>
          </w:tcPr>
          <w:p w14:paraId="0F110AC6" w14:textId="77777777" w:rsidR="00CE4F14" w:rsidRPr="00020D48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020D48">
              <w:rPr>
                <w:rFonts w:cs="Arial"/>
                <w:b/>
                <w:i/>
                <w:szCs w:val="22"/>
              </w:rPr>
              <w:t>Bindende Verpflichtungen</w:t>
            </w:r>
          </w:p>
        </w:tc>
      </w:tr>
      <w:tr w:rsidR="00CE4F14" w14:paraId="0D74688C" w14:textId="77777777" w:rsidTr="001D54A5">
        <w:tc>
          <w:tcPr>
            <w:tcW w:w="709" w:type="dxa"/>
            <w:vAlign w:val="center"/>
          </w:tcPr>
          <w:p w14:paraId="222726EA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vAlign w:val="center"/>
          </w:tcPr>
          <w:p w14:paraId="530C939B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Erfüllung der rechtlichen Auflagen</w:t>
            </w:r>
          </w:p>
        </w:tc>
        <w:tc>
          <w:tcPr>
            <w:tcW w:w="5104" w:type="dxa"/>
            <w:vAlign w:val="center"/>
          </w:tcPr>
          <w:p w14:paraId="24878EC8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Durchführung der geforderten Emissionsmessungen</w:t>
            </w:r>
          </w:p>
        </w:tc>
        <w:tc>
          <w:tcPr>
            <w:tcW w:w="1559" w:type="dxa"/>
            <w:vAlign w:val="center"/>
          </w:tcPr>
          <w:p w14:paraId="7F7D5097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Erl. </w:t>
            </w:r>
            <w:proofErr w:type="spellStart"/>
            <w:r>
              <w:rPr>
                <w:rFonts w:cs="Arial"/>
                <w:szCs w:val="22"/>
              </w:rPr>
              <w:t>Jän</w:t>
            </w:r>
            <w:proofErr w:type="spellEnd"/>
            <w:r>
              <w:rPr>
                <w:rFonts w:cs="Arial"/>
                <w:szCs w:val="22"/>
              </w:rPr>
              <w:t>. 2019</w:t>
            </w:r>
          </w:p>
        </w:tc>
        <w:tc>
          <w:tcPr>
            <w:tcW w:w="1275" w:type="dxa"/>
            <w:vAlign w:val="center"/>
          </w:tcPr>
          <w:p w14:paraId="0589AB11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</w:tr>
      <w:tr w:rsidR="00CE4F14" w14:paraId="0DFBC291" w14:textId="77777777" w:rsidTr="001D54A5">
        <w:tc>
          <w:tcPr>
            <w:tcW w:w="10632" w:type="dxa"/>
            <w:gridSpan w:val="5"/>
            <w:shd w:val="clear" w:color="auto" w:fill="9BCDFF"/>
            <w:vAlign w:val="center"/>
          </w:tcPr>
          <w:p w14:paraId="45DB6D45" w14:textId="77777777" w:rsidR="00CE4F14" w:rsidRPr="00120593" w:rsidRDefault="00CE4F14" w:rsidP="001D54A5">
            <w:pPr>
              <w:spacing w:before="0" w:after="0" w:line="360" w:lineRule="auto"/>
              <w:jc w:val="center"/>
              <w:rPr>
                <w:rFonts w:cs="Arial"/>
                <w:b/>
                <w:i/>
                <w:szCs w:val="22"/>
              </w:rPr>
            </w:pPr>
            <w:r w:rsidRPr="00120593">
              <w:rPr>
                <w:rFonts w:cs="Arial"/>
                <w:b/>
                <w:i/>
                <w:szCs w:val="22"/>
              </w:rPr>
              <w:t>Mitarbeitervorsorge</w:t>
            </w:r>
          </w:p>
        </w:tc>
      </w:tr>
      <w:tr w:rsidR="00CE4F14" w14:paraId="450CB0C4" w14:textId="77777777" w:rsidTr="001D54A5">
        <w:tc>
          <w:tcPr>
            <w:tcW w:w="709" w:type="dxa"/>
            <w:vAlign w:val="center"/>
          </w:tcPr>
          <w:p w14:paraId="0E63E7A1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vAlign w:val="center"/>
          </w:tcPr>
          <w:p w14:paraId="29B9D2BF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 w:rsidRPr="00FA1CD3">
              <w:rPr>
                <w:rFonts w:cs="Arial"/>
                <w:iCs/>
                <w:szCs w:val="22"/>
              </w:rPr>
              <w:t>Arbeitsunfälle</w:t>
            </w:r>
            <w:r>
              <w:rPr>
                <w:rFonts w:cs="Arial"/>
                <w:iCs/>
                <w:szCs w:val="22"/>
              </w:rPr>
              <w:t xml:space="preserve"> senken</w:t>
            </w:r>
          </w:p>
        </w:tc>
        <w:tc>
          <w:tcPr>
            <w:tcW w:w="5104" w:type="dxa"/>
            <w:vAlign w:val="center"/>
          </w:tcPr>
          <w:p w14:paraId="58D6B942" w14:textId="77777777" w:rsidR="00CE4F14" w:rsidRPr="004E29E7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A1CD3">
              <w:rPr>
                <w:rFonts w:cs="Arial"/>
                <w:color w:val="000000"/>
                <w:szCs w:val="22"/>
              </w:rPr>
              <w:t xml:space="preserve">Arbeitsplatzevaluierungen schulen, </w:t>
            </w:r>
            <w:r w:rsidR="00D43A30">
              <w:rPr>
                <w:rFonts w:cs="Arial"/>
                <w:color w:val="000000"/>
                <w:szCs w:val="22"/>
              </w:rPr>
              <w:t>j</w:t>
            </w:r>
            <w:r w:rsidRPr="00FA1CD3">
              <w:rPr>
                <w:rFonts w:cs="Arial"/>
                <w:color w:val="000000"/>
                <w:szCs w:val="22"/>
              </w:rPr>
              <w:t>ährliche Sicherheitsunterweisung</w:t>
            </w:r>
          </w:p>
        </w:tc>
        <w:tc>
          <w:tcPr>
            <w:tcW w:w="1559" w:type="dxa"/>
            <w:vAlign w:val="center"/>
          </w:tcPr>
          <w:p w14:paraId="408E0AF1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Dezember 2019</w:t>
            </w:r>
          </w:p>
        </w:tc>
        <w:tc>
          <w:tcPr>
            <w:tcW w:w="1275" w:type="dxa"/>
            <w:vAlign w:val="center"/>
          </w:tcPr>
          <w:p w14:paraId="2446A3F5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</w:p>
        </w:tc>
      </w:tr>
      <w:tr w:rsidR="00CE4F14" w14:paraId="2ACC2DCF" w14:textId="77777777" w:rsidTr="001D54A5">
        <w:tc>
          <w:tcPr>
            <w:tcW w:w="709" w:type="dxa"/>
            <w:vAlign w:val="center"/>
          </w:tcPr>
          <w:p w14:paraId="12E622FA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2018</w:t>
            </w:r>
          </w:p>
        </w:tc>
        <w:tc>
          <w:tcPr>
            <w:tcW w:w="1985" w:type="dxa"/>
            <w:vAlign w:val="center"/>
          </w:tcPr>
          <w:p w14:paraId="21D88725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 w:rsidRPr="00FA1CD3">
              <w:rPr>
                <w:rFonts w:cs="Arial"/>
                <w:i/>
                <w:iCs/>
                <w:szCs w:val="22"/>
              </w:rPr>
              <w:t>Krankenstände</w:t>
            </w:r>
            <w:r>
              <w:rPr>
                <w:rFonts w:cs="Arial"/>
                <w:i/>
                <w:iCs/>
                <w:szCs w:val="22"/>
              </w:rPr>
              <w:t xml:space="preserve"> senken</w:t>
            </w:r>
          </w:p>
        </w:tc>
        <w:tc>
          <w:tcPr>
            <w:tcW w:w="5104" w:type="dxa"/>
            <w:vAlign w:val="center"/>
          </w:tcPr>
          <w:p w14:paraId="0AC5645F" w14:textId="77777777" w:rsidR="00CE4F14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Schaffung eines p</w:t>
            </w:r>
            <w:r w:rsidRPr="00FA1CD3">
              <w:rPr>
                <w:rFonts w:cs="Arial"/>
                <w:color w:val="000000"/>
                <w:szCs w:val="22"/>
              </w:rPr>
              <w:t>ositive</w:t>
            </w:r>
            <w:r>
              <w:rPr>
                <w:rFonts w:cs="Arial"/>
                <w:color w:val="000000"/>
                <w:szCs w:val="22"/>
              </w:rPr>
              <w:t>n</w:t>
            </w:r>
            <w:r w:rsidRPr="00FA1CD3">
              <w:rPr>
                <w:rFonts w:cs="Arial"/>
                <w:color w:val="000000"/>
                <w:szCs w:val="22"/>
              </w:rPr>
              <w:t xml:space="preserve"> Arbeitsumfeld</w:t>
            </w:r>
            <w:r>
              <w:rPr>
                <w:rFonts w:cs="Arial"/>
                <w:color w:val="000000"/>
                <w:szCs w:val="22"/>
              </w:rPr>
              <w:t>es in Form von</w:t>
            </w:r>
            <w:r w:rsidRPr="00FA1CD3">
              <w:rPr>
                <w:rFonts w:cs="Arial"/>
                <w:color w:val="000000"/>
                <w:szCs w:val="22"/>
              </w:rPr>
              <w:t xml:space="preserve"> Bonusprogramme</w:t>
            </w:r>
            <w:r>
              <w:rPr>
                <w:rFonts w:cs="Arial"/>
                <w:color w:val="000000"/>
                <w:szCs w:val="22"/>
              </w:rPr>
              <w:t>n</w:t>
            </w:r>
            <w:r w:rsidRPr="00FA1CD3">
              <w:rPr>
                <w:rFonts w:cs="Arial"/>
                <w:color w:val="000000"/>
                <w:szCs w:val="22"/>
              </w:rPr>
              <w:t xml:space="preserve"> f. Mitarbeite</w:t>
            </w:r>
            <w:r w:rsidR="00D43A30">
              <w:rPr>
                <w:rFonts w:cs="Arial"/>
                <w:color w:val="000000"/>
                <w:szCs w:val="22"/>
              </w:rPr>
              <w:t>nde</w:t>
            </w:r>
          </w:p>
          <w:p w14:paraId="51A84064" w14:textId="77777777" w:rsidR="00CE4F14" w:rsidRPr="00FA1CD3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A1CD3">
              <w:rPr>
                <w:rFonts w:cs="Arial"/>
                <w:color w:val="000000"/>
                <w:szCs w:val="22"/>
              </w:rPr>
              <w:t>(Fitnessstudio, Prämien für Lehrlinge, …)  </w:t>
            </w:r>
          </w:p>
        </w:tc>
        <w:tc>
          <w:tcPr>
            <w:tcW w:w="1559" w:type="dxa"/>
            <w:vAlign w:val="center"/>
          </w:tcPr>
          <w:p w14:paraId="3EBB18CA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März 2019</w:t>
            </w:r>
          </w:p>
        </w:tc>
        <w:tc>
          <w:tcPr>
            <w:tcW w:w="1275" w:type="dxa"/>
            <w:vAlign w:val="center"/>
          </w:tcPr>
          <w:p w14:paraId="2AB2DCC5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</w:p>
        </w:tc>
      </w:tr>
      <w:tr w:rsidR="00CE4F14" w14:paraId="01A708CD" w14:textId="77777777" w:rsidTr="001D54A5">
        <w:tc>
          <w:tcPr>
            <w:tcW w:w="709" w:type="dxa"/>
            <w:vAlign w:val="center"/>
          </w:tcPr>
          <w:p w14:paraId="76063989" w14:textId="77777777" w:rsidR="00CE4F14" w:rsidRDefault="00CE4F14" w:rsidP="001D54A5">
            <w:pPr>
              <w:spacing w:before="0" w:after="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2017</w:t>
            </w:r>
          </w:p>
        </w:tc>
        <w:tc>
          <w:tcPr>
            <w:tcW w:w="1985" w:type="dxa"/>
            <w:vAlign w:val="center"/>
          </w:tcPr>
          <w:p w14:paraId="67DA26B7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Schutz der Mitarbeite</w:t>
            </w:r>
            <w:r w:rsidR="00D43A30">
              <w:rPr>
                <w:rFonts w:cs="Arial"/>
                <w:szCs w:val="22"/>
              </w:rPr>
              <w:t>nden</w:t>
            </w:r>
          </w:p>
        </w:tc>
        <w:tc>
          <w:tcPr>
            <w:tcW w:w="5104" w:type="dxa"/>
            <w:vAlign w:val="center"/>
          </w:tcPr>
          <w:p w14:paraId="370C34B0" w14:textId="77777777" w:rsidR="00CE4F14" w:rsidRPr="00FA1CD3" w:rsidRDefault="00CE4F14" w:rsidP="001D54A5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Verbesserung der Sicherheit im Gefahrenstofflager</w:t>
            </w:r>
          </w:p>
        </w:tc>
        <w:tc>
          <w:tcPr>
            <w:tcW w:w="1559" w:type="dxa"/>
            <w:vAlign w:val="center"/>
          </w:tcPr>
          <w:p w14:paraId="6A4E2797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Feb.2019</w:t>
            </w:r>
          </w:p>
        </w:tc>
        <w:tc>
          <w:tcPr>
            <w:tcW w:w="1275" w:type="dxa"/>
            <w:vAlign w:val="center"/>
          </w:tcPr>
          <w:p w14:paraId="5351BC06" w14:textId="77777777" w:rsidR="00CE4F14" w:rsidRDefault="00CE4F14" w:rsidP="001D54A5">
            <w:pPr>
              <w:spacing w:before="0" w:after="0" w:line="360" w:lineRule="auto"/>
              <w:rPr>
                <w:rFonts w:cs="Arial"/>
                <w:szCs w:val="22"/>
              </w:rPr>
            </w:pPr>
          </w:p>
        </w:tc>
      </w:tr>
    </w:tbl>
    <w:p w14:paraId="0009530E" w14:textId="77777777" w:rsidR="001E4F23" w:rsidRDefault="00DD737D"/>
    <w:sectPr w:rsidR="001E4F2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3F218" w14:textId="77777777" w:rsidR="002E5E59" w:rsidRDefault="002E5E59" w:rsidP="002E5E59">
      <w:pPr>
        <w:spacing w:before="0" w:after="0"/>
      </w:pPr>
      <w:r>
        <w:separator/>
      </w:r>
    </w:p>
  </w:endnote>
  <w:endnote w:type="continuationSeparator" w:id="0">
    <w:p w14:paraId="48EE6EDF" w14:textId="77777777" w:rsidR="002E5E59" w:rsidRDefault="002E5E59" w:rsidP="002E5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1D46" w14:textId="25552FC6" w:rsidR="002E5E59" w:rsidRDefault="002E5E59" w:rsidP="002E5E59">
    <w:pPr>
      <w:pStyle w:val="Fuzeile"/>
      <w:jc w:val="right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8BC6" w14:textId="77777777" w:rsidR="002E5E59" w:rsidRDefault="002E5E59" w:rsidP="002E5E59">
      <w:pPr>
        <w:spacing w:before="0" w:after="0"/>
      </w:pPr>
      <w:r>
        <w:separator/>
      </w:r>
    </w:p>
  </w:footnote>
  <w:footnote w:type="continuationSeparator" w:id="0">
    <w:p w14:paraId="22F545DD" w14:textId="77777777" w:rsidR="002E5E59" w:rsidRDefault="002E5E59" w:rsidP="002E5E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BE0"/>
    <w:multiLevelType w:val="multilevel"/>
    <w:tmpl w:val="4E54861A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14"/>
    <w:rsid w:val="0015288F"/>
    <w:rsid w:val="002E5E59"/>
    <w:rsid w:val="006D04B8"/>
    <w:rsid w:val="009769C9"/>
    <w:rsid w:val="00CE4F14"/>
    <w:rsid w:val="00D43A30"/>
    <w:rsid w:val="00E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F27A"/>
  <w15:chartTrackingRefBased/>
  <w15:docId w15:val="{D841FC17-E8EC-4788-ACBE-9F1F9E6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E4F14"/>
    <w:pPr>
      <w:spacing w:before="360" w:after="120" w:line="240" w:lineRule="auto"/>
    </w:pPr>
    <w:rPr>
      <w:rFonts w:ascii="Trebuchet MS" w:eastAsia="Times New Roman" w:hAnsi="Trebuchet MS" w:cs="Times New Roman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E4F14"/>
    <w:pPr>
      <w:keepNext/>
      <w:keepLines/>
      <w:pageBreakBefore/>
      <w:numPr>
        <w:numId w:val="1"/>
      </w:numPr>
      <w:spacing w:before="0" w:after="48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CE4F14"/>
    <w:pPr>
      <w:pageBreakBefore w:val="0"/>
      <w:numPr>
        <w:ilvl w:val="1"/>
      </w:numPr>
      <w:spacing w:before="360" w:after="280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CE4F14"/>
    <w:pPr>
      <w:numPr>
        <w:ilvl w:val="2"/>
      </w:numPr>
      <w:spacing w:before="120"/>
      <w:outlineLvl w:val="2"/>
    </w:pPr>
    <w:rPr>
      <w:b/>
      <w:bCs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CE4F14"/>
    <w:pPr>
      <w:numPr>
        <w:ilvl w:val="3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CE4F14"/>
    <w:pPr>
      <w:numPr>
        <w:ilvl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CE4F14"/>
    <w:pPr>
      <w:numPr>
        <w:ilvl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link w:val="berschrift7Zchn"/>
    <w:qFormat/>
    <w:rsid w:val="00CE4F14"/>
    <w:pPr>
      <w:numPr>
        <w:ilvl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CE4F14"/>
    <w:pPr>
      <w:numPr>
        <w:ilvl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CE4F14"/>
    <w:pPr>
      <w:numPr>
        <w:ilvl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4F14"/>
    <w:rPr>
      <w:rFonts w:ascii="Trebuchet MS" w:eastAsia="Times New Roman" w:hAnsi="Trebuchet MS" w:cs="Arial"/>
      <w:b/>
      <w:bCs/>
      <w:caps/>
      <w:kern w:val="32"/>
      <w:sz w:val="28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CE4F14"/>
    <w:rPr>
      <w:rFonts w:ascii="Trebuchet MS" w:eastAsia="Times New Roman" w:hAnsi="Trebuchet MS" w:cs="Arial"/>
      <w:iCs/>
      <w:kern w:val="32"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E4F14"/>
    <w:rPr>
      <w:rFonts w:ascii="Trebuchet MS" w:eastAsia="Times New Roman" w:hAnsi="Trebuchet MS" w:cs="Arial"/>
      <w:b/>
      <w:bCs/>
      <w:iCs/>
      <w:kern w:val="32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CE4F14"/>
    <w:rPr>
      <w:rFonts w:ascii="Trebuchet MS" w:eastAsia="Times New Roman" w:hAnsi="Trebuchet MS" w:cs="Arial"/>
      <w:b/>
      <w:iCs/>
      <w:kern w:val="32"/>
      <w:szCs w:val="28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CE4F14"/>
    <w:rPr>
      <w:rFonts w:ascii="Trebuchet MS" w:eastAsia="Times New Roman" w:hAnsi="Trebuchet MS" w:cs="Arial"/>
      <w:b/>
      <w:bCs/>
      <w:kern w:val="32"/>
      <w:szCs w:val="26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CE4F14"/>
    <w:rPr>
      <w:rFonts w:ascii="Trebuchet MS" w:eastAsia="Times New Roman" w:hAnsi="Trebuchet MS" w:cs="Arial"/>
      <w:b/>
      <w:kern w:val="32"/>
      <w:lang w:val="de-AT"/>
    </w:rPr>
  </w:style>
  <w:style w:type="character" w:customStyle="1" w:styleId="berschrift7Zchn">
    <w:name w:val="Überschrift 7 Zchn"/>
    <w:basedOn w:val="Absatz-Standardschriftart"/>
    <w:link w:val="berschrift7"/>
    <w:rsid w:val="00CE4F14"/>
    <w:rPr>
      <w:rFonts w:ascii="Trebuchet MS" w:eastAsia="Times New Roman" w:hAnsi="Trebuchet MS" w:cs="Arial"/>
      <w:b/>
      <w:kern w:val="32"/>
      <w:lang w:val="de-AT"/>
    </w:rPr>
  </w:style>
  <w:style w:type="character" w:customStyle="1" w:styleId="berschrift8Zchn">
    <w:name w:val="Überschrift 8 Zchn"/>
    <w:basedOn w:val="Absatz-Standardschriftart"/>
    <w:link w:val="berschrift8"/>
    <w:rsid w:val="00CE4F14"/>
    <w:rPr>
      <w:rFonts w:ascii="Trebuchet MS" w:eastAsia="Times New Roman" w:hAnsi="Trebuchet MS" w:cs="Arial"/>
      <w:b/>
      <w:iCs/>
      <w:kern w:val="32"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CE4F14"/>
    <w:rPr>
      <w:rFonts w:ascii="Trebuchet MS" w:eastAsia="Times New Roman" w:hAnsi="Trebuchet MS" w:cs="Arial"/>
      <w:b/>
      <w:iCs/>
      <w:kern w:val="32"/>
      <w:lang w:val="de-AT"/>
    </w:rPr>
  </w:style>
  <w:style w:type="paragraph" w:customStyle="1" w:styleId="Kommentartext1">
    <w:name w:val="Kommentartext1"/>
    <w:basedOn w:val="Standard"/>
    <w:rsid w:val="00CE4F14"/>
    <w:pPr>
      <w:spacing w:before="0" w:after="0"/>
    </w:pPr>
    <w:rPr>
      <w:rFonts w:ascii="Times New Roman" w:hAnsi="Times New Roman"/>
      <w:sz w:val="20"/>
      <w:szCs w:val="20"/>
      <w:lang w:val="de-DE" w:eastAsia="zh-CN"/>
    </w:rPr>
  </w:style>
  <w:style w:type="table" w:styleId="Tabellenraster">
    <w:name w:val="Table Grid"/>
    <w:basedOn w:val="NormaleTabelle"/>
    <w:uiPriority w:val="59"/>
    <w:rsid w:val="00CE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5E5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E59"/>
    <w:rPr>
      <w:rFonts w:ascii="Trebuchet MS" w:eastAsia="Times New Roman" w:hAnsi="Trebuchet MS" w:cs="Times New Roman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E5E5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5E59"/>
    <w:rPr>
      <w:rFonts w:ascii="Trebuchet MS" w:eastAsia="Times New Roman" w:hAnsi="Trebuchet MS" w:cs="Times New Roman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</dc:title>
  <dc:subject/>
  <dc:creator>Andrea Kraus</dc:creator>
  <cp:keywords/>
  <dc:description/>
  <cp:lastModifiedBy>Andrea Kraus</cp:lastModifiedBy>
  <cp:revision>6</cp:revision>
  <cp:lastPrinted>2019-10-21T10:34:00Z</cp:lastPrinted>
  <dcterms:created xsi:type="dcterms:W3CDTF">2019-10-21T09:18:00Z</dcterms:created>
  <dcterms:modified xsi:type="dcterms:W3CDTF">2019-10-21T10:35:00Z</dcterms:modified>
</cp:coreProperties>
</file>