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1. KUNDENZUFRIEDENHEIT</w:t>
      </w:r>
      <w:bookmarkStart w:id="0" w:name="_GoBack"/>
      <w:bookmarkEnd w:id="0"/>
    </w:p>
    <w:p w:rsidR="00AC28BE" w:rsidRDefault="00AC28BE">
      <w:pPr>
        <w:rPr>
          <w:b/>
          <w:bCs/>
          <w:u w:val="single"/>
          <w:lang w:val="de-AT"/>
        </w:rPr>
      </w:pPr>
    </w:p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53100" cy="2581275"/>
            <wp:effectExtent l="0" t="0" r="0" b="0"/>
            <wp:docPr id="17" name="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8BE" w:rsidRDefault="00AC28BE"/>
    <w:p w:rsidR="00AC28BE" w:rsidRDefault="00AC28BE">
      <w:r>
        <w:t>Beschreibung der Situation:</w:t>
      </w:r>
      <w:r w:rsidR="00FC7287">
        <w:t xml:space="preserve"> </w:t>
      </w:r>
    </w:p>
    <w:p w:rsidR="00AC28BE" w:rsidRDefault="00AC28BE">
      <w:pPr>
        <w:jc w:val="both"/>
      </w:pPr>
      <w:r>
        <w:t xml:space="preserve">Die Kundenzufriedenheit ist deutlich unter der Obergrenze von 1,5 und damit positiv. </w:t>
      </w:r>
    </w:p>
    <w:p w:rsidR="00AC28BE" w:rsidRDefault="00AC28BE">
      <w:pPr>
        <w:jc w:val="both"/>
      </w:pPr>
    </w:p>
    <w:p w:rsidR="00AC28BE" w:rsidRDefault="00AC28BE"/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2. VERHÄLTNIS ANZAHL ANGEBOTE ZU ANZAHL AUFTRÄGE</w:t>
      </w:r>
    </w:p>
    <w:p w:rsidR="00AC28BE" w:rsidRDefault="00AC28BE">
      <w:pPr>
        <w:rPr>
          <w:b/>
          <w:bCs/>
          <w:u w:val="single"/>
          <w:lang w:val="de-AT"/>
        </w:rPr>
      </w:pPr>
    </w:p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53100" cy="258127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28BE" w:rsidRDefault="00AC28BE"/>
    <w:p w:rsidR="00AC28BE" w:rsidRDefault="00AC28BE"/>
    <w:p w:rsidR="00AC28BE" w:rsidRDefault="00AC28BE">
      <w:pPr>
        <w:pStyle w:val="Kopfzeile"/>
        <w:tabs>
          <w:tab w:val="clear" w:pos="4536"/>
          <w:tab w:val="clear" w:pos="9072"/>
        </w:tabs>
      </w:pPr>
    </w:p>
    <w:p w:rsidR="00AC28BE" w:rsidRDefault="00AC28BE" w:rsidP="00FC7287">
      <w:r>
        <w:t>B</w:t>
      </w:r>
      <w:r w:rsidR="00FC7287">
        <w:t xml:space="preserve">eschreibung der Situation: </w:t>
      </w:r>
      <w:r>
        <w:t xml:space="preserve">Das Verhältnis Angebote zu Aufträgen liegt 2010 bei 0,34 und damit deutlich unter der Obergrenze.  </w:t>
      </w:r>
    </w:p>
    <w:p w:rsidR="00AC28BE" w:rsidRDefault="00AC28BE"/>
    <w:p w:rsidR="00AC28BE" w:rsidRDefault="00AC28BE"/>
    <w:p w:rsidR="00AC28BE" w:rsidRDefault="00AC28BE"/>
    <w:p w:rsidR="00AC28BE" w:rsidRDefault="00FC7287">
      <w:r>
        <w:br w:type="page"/>
      </w:r>
    </w:p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lastRenderedPageBreak/>
        <w:t>3. VERHÄLTNIS ANGEBOTWERT ZU AUFTRAGSWERT</w:t>
      </w:r>
    </w:p>
    <w:p w:rsidR="00AC28BE" w:rsidRDefault="00AC28BE"/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53100" cy="2628900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28BE" w:rsidRDefault="00AC28BE">
      <w:pPr>
        <w:rPr>
          <w:b/>
          <w:bCs/>
          <w:u w:val="single"/>
          <w:lang w:val="de-AT"/>
        </w:rPr>
      </w:pPr>
    </w:p>
    <w:p w:rsidR="00AC28BE" w:rsidRDefault="00AC28BE">
      <w:r>
        <w:t>Beschreibung der Situation:</w:t>
      </w:r>
    </w:p>
    <w:p w:rsidR="00AC28BE" w:rsidRDefault="00AC28BE">
      <w:pPr>
        <w:jc w:val="both"/>
      </w:pPr>
    </w:p>
    <w:p w:rsidR="00AC28BE" w:rsidRDefault="00AC28BE">
      <w:pPr>
        <w:jc w:val="both"/>
        <w:rPr>
          <w:b/>
          <w:bCs/>
          <w:u w:val="single"/>
          <w:lang w:val="de-AT"/>
        </w:rPr>
      </w:pPr>
      <w:r>
        <w:t xml:space="preserve">Das Verhältnis Angebotswert zu </w:t>
      </w:r>
      <w:proofErr w:type="spellStart"/>
      <w:r>
        <w:t>Auftragwert</w:t>
      </w:r>
      <w:proofErr w:type="spellEnd"/>
      <w:r>
        <w:t xml:space="preserve"> liegt im Durchschnitt bei 1,11 und somit unter der Obergrenze von 1,25 und ist </w:t>
      </w:r>
      <w:proofErr w:type="gramStart"/>
      <w:r>
        <w:t>somit  positiv</w:t>
      </w:r>
      <w:proofErr w:type="gramEnd"/>
      <w:r>
        <w:t>.</w:t>
      </w:r>
    </w:p>
    <w:p w:rsidR="00AC28BE" w:rsidRDefault="00AC28BE">
      <w:pPr>
        <w:rPr>
          <w:b/>
          <w:bCs/>
          <w:u w:val="single"/>
          <w:lang w:val="de-AT"/>
        </w:rPr>
      </w:pPr>
    </w:p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4. FERTIGUNGSKOSTEN</w:t>
      </w:r>
    </w:p>
    <w:p w:rsidR="00AC28BE" w:rsidRDefault="00AC28BE"/>
    <w:p w:rsidR="00AC28BE" w:rsidRDefault="00094C3E">
      <w:pPr>
        <w:rPr>
          <w:b/>
          <w:bCs/>
          <w:u w:val="single"/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53100" cy="3286125"/>
            <wp:effectExtent l="0" t="0" r="0" b="0"/>
            <wp:docPr id="4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8BE" w:rsidRDefault="00AC28BE"/>
    <w:p w:rsidR="00AC28BE" w:rsidRDefault="00AC28BE">
      <w:r>
        <w:t>Beschreibung der Situation:</w:t>
      </w:r>
    </w:p>
    <w:p w:rsidR="00AC28BE" w:rsidRDefault="00AC28BE"/>
    <w:p w:rsidR="00AC28BE" w:rsidRDefault="00AC28BE">
      <w:pPr>
        <w:pStyle w:val="Textkrper"/>
      </w:pPr>
      <w:r>
        <w:t>Der Anteil der Produktionskosten an den gesamten Produktkosten ist unter den Grenzwerten und konstant.</w:t>
      </w:r>
    </w:p>
    <w:p w:rsidR="00731342" w:rsidRDefault="00731342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br w:type="page"/>
      </w:r>
    </w:p>
    <w:p w:rsidR="00AC28BE" w:rsidRDefault="00AC28BE">
      <w:pPr>
        <w:rPr>
          <w:b/>
          <w:bCs/>
          <w:u w:val="single"/>
          <w:lang w:val="de-AT"/>
        </w:rPr>
      </w:pPr>
    </w:p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5. LIEFERZEIT DER LIEFERANTEN</w:t>
      </w:r>
    </w:p>
    <w:p w:rsidR="00AC28BE" w:rsidRDefault="00AC28BE"/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143500" cy="2809875"/>
            <wp:effectExtent l="0" t="0" r="0" b="0"/>
            <wp:docPr id="5" name="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28BE" w:rsidRDefault="00AC28BE" w:rsidP="00FC7287">
      <w:r>
        <w:t>Beschreibung der Situation:</w:t>
      </w:r>
      <w:r w:rsidR="00FC7287">
        <w:t xml:space="preserve"> </w:t>
      </w:r>
      <w:r>
        <w:t xml:space="preserve">Die durchschnittlichen Lieferzeiten bewegen sich im Bereich der Grenzwerte. Speziell bei </w:t>
      </w:r>
      <w:proofErr w:type="spellStart"/>
      <w:r>
        <w:t>Drupo</w:t>
      </w:r>
      <w:proofErr w:type="spellEnd"/>
      <w:r>
        <w:t xml:space="preserve"> sind durch die Vielzahl der (Klein-) Aufträge fallweise Lieferverzögerungen kaum vermeidbar jedoch wird dieses vorab schon bei der Lieferzeitbekanntgabe an den Kunden berücksichtigt. </w:t>
      </w:r>
    </w:p>
    <w:p w:rsidR="00AC28BE" w:rsidRDefault="00AC28BE">
      <w:pPr>
        <w:rPr>
          <w:b/>
          <w:bCs/>
          <w:u w:val="single"/>
          <w:lang w:val="de-AT"/>
        </w:rPr>
      </w:pPr>
    </w:p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6. REKLAMATIONEN AN LIEFERANTEN</w:t>
      </w:r>
    </w:p>
    <w:p w:rsidR="00AC28BE" w:rsidRDefault="00AC28BE"/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53100" cy="3448050"/>
            <wp:effectExtent l="0" t="0" r="0" b="0"/>
            <wp:docPr id="6" name="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28BE" w:rsidRDefault="00AC28BE">
      <w:r>
        <w:t>Beschreibung der Situation:</w:t>
      </w:r>
    </w:p>
    <w:p w:rsidR="00AC28BE" w:rsidRDefault="00AC28BE">
      <w:pPr>
        <w:pStyle w:val="Textkrper"/>
      </w:pPr>
      <w:r>
        <w:t>Bei den Lieferanten-Reklamationen wurde eine Qualitätsverbesserung erreicht. Der schlechte Wert im 1. Qu</w:t>
      </w:r>
      <w:r w:rsidR="007C0DCE">
        <w:t>artal</w:t>
      </w:r>
      <w:r>
        <w:t xml:space="preserve"> 2011 ist auf </w:t>
      </w:r>
      <w:r w:rsidR="00731342">
        <w:t>eine defekte Presse (B</w:t>
      </w:r>
      <w:r>
        <w:t xml:space="preserve">eschriftung) zurückzuführen. Die Reklamationen waren während der Produktion und bei der anschließenden Qualitätskontrolle nicht erkennbar. </w:t>
      </w:r>
    </w:p>
    <w:p w:rsidR="00AC28BE" w:rsidRDefault="00AC28BE"/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lastRenderedPageBreak/>
        <w:t>7. ENTWICKLUNGSERFOLGE</w:t>
      </w:r>
    </w:p>
    <w:p w:rsidR="00AC28BE" w:rsidRDefault="00AC28BE"/>
    <w:p w:rsidR="00AC28BE" w:rsidRDefault="00AC28BE"/>
    <w:p w:rsidR="00AC28BE" w:rsidRDefault="00094C3E">
      <w:pPr>
        <w:rPr>
          <w:b/>
          <w:bCs/>
          <w:u w:val="single"/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53100" cy="2390775"/>
            <wp:effectExtent l="0" t="0" r="0" b="0"/>
            <wp:docPr id="7" name="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8BE" w:rsidRDefault="00AC28BE">
      <w:r>
        <w:t>Beschreibung der Situation:</w:t>
      </w:r>
    </w:p>
    <w:p w:rsidR="00AC28BE" w:rsidRDefault="00AC28BE">
      <w:r>
        <w:t xml:space="preserve">Die Ist-Werte </w:t>
      </w:r>
      <w:r w:rsidR="000F61FC">
        <w:t>haben wieder steigende Tendenz</w:t>
      </w:r>
      <w:r>
        <w:t xml:space="preserve">. </w:t>
      </w:r>
      <w:r w:rsidR="000F61FC">
        <w:t>Dennoch sind die Werte noch nicht zufriedenstellend.</w:t>
      </w:r>
    </w:p>
    <w:p w:rsidR="00AC28BE" w:rsidRDefault="00AC28BE"/>
    <w:p w:rsidR="00AC28BE" w:rsidRDefault="00AC28BE"/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8. NACHARBEITEN UND AUSSCHUSS</w:t>
      </w:r>
    </w:p>
    <w:p w:rsidR="00AC28BE" w:rsidRDefault="00AC28BE"/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53100" cy="2362200"/>
            <wp:effectExtent l="0" t="0" r="0" b="0"/>
            <wp:docPr id="8" name="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28BE" w:rsidRDefault="00AC28BE"/>
    <w:p w:rsidR="00AC28BE" w:rsidRDefault="00AC28BE">
      <w:r>
        <w:t>Beschreibung der Situation:</w:t>
      </w:r>
    </w:p>
    <w:p w:rsidR="00AC28BE" w:rsidRDefault="00AC28BE">
      <w:pPr>
        <w:pStyle w:val="Textkrper"/>
      </w:pPr>
      <w:r>
        <w:t xml:space="preserve">Die Nacharbeiten und der Ausschuss liegen zum Teil unter den Grenzwerten und </w:t>
      </w:r>
      <w:proofErr w:type="gramStart"/>
      <w:r>
        <w:t>einen deutliche Verbesserung</w:t>
      </w:r>
      <w:proofErr w:type="gramEnd"/>
      <w:r>
        <w:t xml:space="preserve"> gegenüber dem Vorjahr ist erkennbar.</w:t>
      </w:r>
    </w:p>
    <w:p w:rsidR="00731342" w:rsidRDefault="00731342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br w:type="page"/>
      </w:r>
    </w:p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lastRenderedPageBreak/>
        <w:t>9. BESTELLWERT JE LIEFERANTENSTATUS</w:t>
      </w:r>
    </w:p>
    <w:p w:rsidR="00AC28BE" w:rsidRDefault="00AC28BE"/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62625" cy="3362325"/>
            <wp:effectExtent l="0" t="0" r="0" b="0"/>
            <wp:docPr id="9" name="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28BE" w:rsidRDefault="00AC28BE">
      <w:r>
        <w:t>Beschreibung der Situation:</w:t>
      </w:r>
    </w:p>
    <w:p w:rsidR="00AC28BE" w:rsidRDefault="00AC28BE">
      <w:pPr>
        <w:pStyle w:val="Textkrper"/>
      </w:pPr>
      <w:r>
        <w:t>Die durchschnittlichen Best</w:t>
      </w:r>
      <w:r w:rsidR="000F61FC">
        <w:t xml:space="preserve">ellwerte bei A-Lieferanten und </w:t>
      </w:r>
      <w:r w:rsidR="007C0DCE">
        <w:t>B-</w:t>
      </w:r>
      <w:r>
        <w:t>Lieferanten sind gleichbleibend. Der dur</w:t>
      </w:r>
      <w:r w:rsidR="000F61FC">
        <w:t xml:space="preserve">chschnittliche Bestellwert bei </w:t>
      </w:r>
      <w:r>
        <w:t>C-Lieferanten ist im Vergleich zum Vorjahr leicht rückgängig.</w:t>
      </w:r>
      <w:r w:rsidR="000F61FC">
        <w:t xml:space="preserve"> Bei D-Lieferanten wird nicht eingekauft.</w:t>
      </w:r>
    </w:p>
    <w:p w:rsidR="00AC28BE" w:rsidRDefault="00AC28BE"/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10. LIEFERANTENREKLAMATION</w:t>
      </w:r>
    </w:p>
    <w:p w:rsidR="00AC28BE" w:rsidRDefault="00AC28BE"/>
    <w:p w:rsidR="00AC28BE" w:rsidRDefault="00094C3E">
      <w:r>
        <w:rPr>
          <w:noProof/>
          <w:lang w:val="de-AT" w:eastAsia="de-AT"/>
        </w:rPr>
        <w:drawing>
          <wp:inline distT="0" distB="0" distL="0" distR="0">
            <wp:extent cx="5753100" cy="3219450"/>
            <wp:effectExtent l="0" t="0" r="0" b="0"/>
            <wp:docPr id="10" name="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28BE" w:rsidRDefault="00AC28BE">
      <w:r>
        <w:t>Beschreibung der Situation:</w:t>
      </w:r>
    </w:p>
    <w:p w:rsidR="00AC28BE" w:rsidRDefault="00AC28BE">
      <w:r>
        <w:t>Die Lieferantenreklamationen bewegen sich im Grenzwert.</w:t>
      </w:r>
    </w:p>
    <w:p w:rsidR="00731342" w:rsidRDefault="00731342">
      <w:r>
        <w:br w:type="page"/>
      </w:r>
    </w:p>
    <w:p w:rsidR="00AC28BE" w:rsidRDefault="00AC28BE"/>
    <w:p w:rsidR="00AC28BE" w:rsidRDefault="00AC28BE">
      <w:pPr>
        <w:rPr>
          <w:b/>
          <w:bCs/>
          <w:u w:val="single"/>
          <w:lang w:val="de-AT"/>
        </w:rPr>
      </w:pPr>
      <w:r>
        <w:rPr>
          <w:b/>
          <w:bCs/>
          <w:u w:val="single"/>
          <w:lang w:val="de-AT"/>
        </w:rPr>
        <w:t>11. GRUND FÜR LIEFERANTENREKLAMATION</w:t>
      </w:r>
    </w:p>
    <w:p w:rsidR="00AC28BE" w:rsidRDefault="00AC28BE"/>
    <w:p w:rsidR="00AC28BE" w:rsidRDefault="00D316C3">
      <w:r>
        <w:rPr>
          <w:noProof/>
          <w:lang w:val="de-AT" w:eastAsia="de-AT"/>
        </w:rPr>
        <w:drawing>
          <wp:inline distT="0" distB="0" distL="0" distR="0">
            <wp:extent cx="5752465" cy="271145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C28BE">
        <w:t xml:space="preserve"> Beschreibung der Situation:</w:t>
      </w:r>
    </w:p>
    <w:p w:rsidR="00AC28BE" w:rsidRDefault="00AC28BE">
      <w:pPr>
        <w:pStyle w:val="Textkrper"/>
      </w:pPr>
      <w:r>
        <w:t>Der Hauptgrund der Reklamationen bei A-Lieferanten war, dass die gelieferte Ware nicht die EN</w:t>
      </w:r>
      <w:r w:rsidR="007C0DCE">
        <w:t>-</w:t>
      </w:r>
      <w:r>
        <w:t>Codes erfüllt. Die Reklamation bzw. n</w:t>
      </w:r>
      <w:r w:rsidR="000F61FC">
        <w:t xml:space="preserve">icht entsprechendes Materials </w:t>
      </w:r>
      <w:r>
        <w:t xml:space="preserve">wurde durch </w:t>
      </w:r>
      <w:proofErr w:type="gramStart"/>
      <w:r>
        <w:t>den Lieferfanten</w:t>
      </w:r>
      <w:proofErr w:type="gramEnd"/>
      <w:r>
        <w:t xml:space="preserve"> selbst gemeldet.</w:t>
      </w:r>
    </w:p>
    <w:p w:rsidR="00AC28BE" w:rsidRDefault="00AC28BE"/>
    <w:p w:rsidR="00AC28BE" w:rsidRDefault="00AC28BE">
      <w:r>
        <w:t xml:space="preserve">Erstellt durch: </w:t>
      </w:r>
      <w:r w:rsidR="00731342">
        <w:t>QM</w:t>
      </w:r>
    </w:p>
    <w:p w:rsidR="00AC28BE" w:rsidRDefault="00AC28BE">
      <w:r>
        <w:t>Datum: 12.07.20</w:t>
      </w:r>
      <w:r w:rsidR="007C0DCE">
        <w:t>14</w:t>
      </w:r>
    </w:p>
    <w:sectPr w:rsidR="00AC28BE">
      <w:headerReference w:type="default" r:id="rId18"/>
      <w:footerReference w:type="default" r:id="rId19"/>
      <w:pgSz w:w="11906" w:h="16838"/>
      <w:pgMar w:top="1418" w:right="1418" w:bottom="3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4D" w:rsidRDefault="00CA6F4D">
      <w:r>
        <w:separator/>
      </w:r>
    </w:p>
  </w:endnote>
  <w:endnote w:type="continuationSeparator" w:id="0">
    <w:p w:rsidR="00CA6F4D" w:rsidRDefault="00C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3020"/>
      <w:gridCol w:w="3020"/>
      <w:gridCol w:w="3020"/>
    </w:tblGrid>
    <w:tr w:rsidR="00AC28B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8BE" w:rsidRDefault="00AC28BE" w:rsidP="00731342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erstellt: </w:t>
          </w:r>
          <w:r w:rsidR="00731342">
            <w:rPr>
              <w:sz w:val="16"/>
              <w:szCs w:val="20"/>
            </w:rPr>
            <w:t>QM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8BE" w:rsidRDefault="00AC28BE" w:rsidP="00731342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geprüft: </w:t>
          </w:r>
          <w:r w:rsidR="00731342">
            <w:rPr>
              <w:sz w:val="16"/>
              <w:szCs w:val="20"/>
            </w:rPr>
            <w:t>PL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8BE" w:rsidRDefault="00AC28BE" w:rsidP="00731342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genehmigt: </w:t>
          </w:r>
          <w:r w:rsidR="00731342">
            <w:rPr>
              <w:sz w:val="16"/>
              <w:szCs w:val="20"/>
            </w:rPr>
            <w:t>GF</w:t>
          </w:r>
        </w:p>
      </w:tc>
    </w:tr>
    <w:tr w:rsidR="00AC28BE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8BE" w:rsidRDefault="00AC28BE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Datum: </w:t>
          </w:r>
          <w:r w:rsidR="00FD52E7">
            <w:rPr>
              <w:sz w:val="16"/>
              <w:szCs w:val="20"/>
            </w:rPr>
            <w:t>20.11.2016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8BE" w:rsidRDefault="00FD52E7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>Datum: 01.12.2016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8BE" w:rsidRDefault="00FD52E7">
          <w:pPr>
            <w:rPr>
              <w:sz w:val="16"/>
              <w:szCs w:val="20"/>
            </w:rPr>
          </w:pPr>
          <w:r>
            <w:rPr>
              <w:sz w:val="16"/>
              <w:szCs w:val="20"/>
            </w:rPr>
            <w:t>Datum: 05.12.2016</w:t>
          </w:r>
        </w:p>
      </w:tc>
    </w:tr>
  </w:tbl>
  <w:p w:rsidR="00AC28BE" w:rsidRDefault="00AC28BE" w:rsidP="00EB3798">
    <w:pPr>
      <w:pStyle w:val="Fuzeile"/>
      <w:jc w:val="right"/>
      <w:rPr>
        <w:sz w:val="12"/>
      </w:rPr>
    </w:pPr>
    <w:r>
      <w:rPr>
        <w:sz w:val="12"/>
        <w:szCs w:val="16"/>
      </w:rPr>
      <w:fldChar w:fldCharType="begin"/>
    </w:r>
    <w:r>
      <w:rPr>
        <w:sz w:val="12"/>
        <w:szCs w:val="16"/>
      </w:rPr>
      <w:instrText xml:space="preserve"> DATE \@ "dd.MM.yyyy" </w:instrText>
    </w:r>
    <w:r>
      <w:rPr>
        <w:sz w:val="12"/>
        <w:szCs w:val="16"/>
      </w:rPr>
      <w:fldChar w:fldCharType="separate"/>
    </w:r>
    <w:r w:rsidR="00D330D2">
      <w:rPr>
        <w:noProof/>
        <w:sz w:val="12"/>
        <w:szCs w:val="16"/>
      </w:rPr>
      <w:t>05.12.2016</w:t>
    </w:r>
    <w:r>
      <w:rPr>
        <w:sz w:val="12"/>
        <w:szCs w:val="16"/>
      </w:rPr>
      <w:fldChar w:fldCharType="end"/>
    </w:r>
    <w:r w:rsidR="00731342">
      <w:rPr>
        <w:sz w:val="12"/>
        <w:szCs w:val="16"/>
      </w:rPr>
      <w:t xml:space="preserve"> </w:t>
    </w:r>
    <w:r w:rsidR="00731342">
      <w:rPr>
        <w:sz w:val="12"/>
        <w:szCs w:val="16"/>
      </w:rPr>
      <w:tab/>
    </w:r>
    <w:r w:rsidR="00731342">
      <w:rPr>
        <w:sz w:val="12"/>
        <w:szCs w:val="16"/>
      </w:rPr>
      <w:tab/>
    </w: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FD52E7">
      <w:rPr>
        <w:noProof/>
        <w:sz w:val="12"/>
      </w:rPr>
      <w:t>E:\Kursunterlagen\090103_FO_01 Analyse und Bewertung_Muster_161205.docx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4D" w:rsidRDefault="00CA6F4D">
      <w:r>
        <w:separator/>
      </w:r>
    </w:p>
  </w:footnote>
  <w:footnote w:type="continuationSeparator" w:id="0">
    <w:p w:rsidR="00CA6F4D" w:rsidRDefault="00CA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5784"/>
      <w:gridCol w:w="2268"/>
    </w:tblGrid>
    <w:tr w:rsidR="00AC28BE">
      <w:trPr>
        <w:cantSplit/>
        <w:trHeight w:val="567"/>
      </w:trPr>
      <w:tc>
        <w:tcPr>
          <w:tcW w:w="1368" w:type="dxa"/>
          <w:vMerge w:val="restart"/>
          <w:vAlign w:val="center"/>
        </w:tcPr>
        <w:p w:rsidR="00AC28BE" w:rsidRDefault="00413BDC">
          <w:pPr>
            <w:pStyle w:val="Kopfzeile"/>
            <w:jc w:val="center"/>
            <w:rPr>
              <w:b/>
              <w:i/>
              <w:color w:val="FF0000"/>
              <w:sz w:val="24"/>
              <w:lang w:val="it-IT"/>
            </w:rPr>
          </w:pPr>
          <w:r>
            <w:rPr>
              <w:b/>
              <w:i/>
              <w:color w:val="FF0000"/>
              <w:sz w:val="16"/>
              <w:lang w:val="it-IT"/>
            </w:rPr>
            <w:t>&lt;LOGO&gt;</w:t>
          </w:r>
        </w:p>
      </w:tc>
      <w:tc>
        <w:tcPr>
          <w:tcW w:w="5784" w:type="dxa"/>
          <w:vMerge w:val="restart"/>
          <w:vAlign w:val="center"/>
        </w:tcPr>
        <w:p w:rsidR="00AC28BE" w:rsidRDefault="00D330D2">
          <w:pPr>
            <w:pStyle w:val="Kopfzeile"/>
            <w:jc w:val="center"/>
            <w:rPr>
              <w:rFonts w:cs="Arial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Analyse und Bewertung</w:t>
          </w:r>
        </w:p>
      </w:tc>
      <w:tc>
        <w:tcPr>
          <w:tcW w:w="2268" w:type="dxa"/>
          <w:vAlign w:val="center"/>
        </w:tcPr>
        <w:p w:rsidR="00AC28BE" w:rsidRDefault="00413BDC" w:rsidP="00EB3798">
          <w:pPr>
            <w:pStyle w:val="Kopfzeile"/>
            <w:rPr>
              <w:rFonts w:cs="Arial"/>
              <w:sz w:val="16"/>
            </w:rPr>
          </w:pPr>
          <w:proofErr w:type="spellStart"/>
          <w:r>
            <w:rPr>
              <w:rFonts w:cs="Arial"/>
              <w:sz w:val="16"/>
              <w:szCs w:val="22"/>
            </w:rPr>
            <w:t>Dok</w:t>
          </w:r>
          <w:proofErr w:type="spellEnd"/>
          <w:r>
            <w:rPr>
              <w:rFonts w:cs="Arial"/>
              <w:sz w:val="16"/>
              <w:szCs w:val="22"/>
            </w:rPr>
            <w:t xml:space="preserve">. Nr.: </w:t>
          </w:r>
          <w:r w:rsidR="00D330D2">
            <w:rPr>
              <w:rFonts w:cs="Arial"/>
              <w:sz w:val="16"/>
              <w:szCs w:val="22"/>
            </w:rPr>
            <w:t>090103</w:t>
          </w:r>
          <w:r w:rsidR="00AC28BE">
            <w:rPr>
              <w:rFonts w:cs="Arial"/>
              <w:sz w:val="16"/>
              <w:szCs w:val="22"/>
            </w:rPr>
            <w:t>_</w:t>
          </w:r>
          <w:r w:rsidR="00EB3798">
            <w:rPr>
              <w:rFonts w:cs="Arial"/>
              <w:sz w:val="16"/>
              <w:szCs w:val="22"/>
            </w:rPr>
            <w:t>FO_</w:t>
          </w:r>
          <w:r w:rsidR="00AC28BE">
            <w:rPr>
              <w:rFonts w:cs="Arial"/>
              <w:sz w:val="16"/>
              <w:szCs w:val="22"/>
            </w:rPr>
            <w:t>01</w:t>
          </w:r>
        </w:p>
      </w:tc>
    </w:tr>
    <w:tr w:rsidR="00AC28BE">
      <w:trPr>
        <w:cantSplit/>
        <w:trHeight w:hRule="exact" w:val="284"/>
      </w:trPr>
      <w:tc>
        <w:tcPr>
          <w:tcW w:w="1368" w:type="dxa"/>
          <w:vMerge/>
        </w:tcPr>
        <w:p w:rsidR="00AC28BE" w:rsidRDefault="00AC28BE">
          <w:pPr>
            <w:pStyle w:val="Kopfzeile"/>
          </w:pPr>
        </w:p>
      </w:tc>
      <w:tc>
        <w:tcPr>
          <w:tcW w:w="5784" w:type="dxa"/>
          <w:vMerge/>
        </w:tcPr>
        <w:p w:rsidR="00AC28BE" w:rsidRDefault="00AC28BE">
          <w:pPr>
            <w:pStyle w:val="Kopfzeile"/>
            <w:rPr>
              <w:rFonts w:cs="Arial"/>
            </w:rPr>
          </w:pPr>
        </w:p>
      </w:tc>
      <w:tc>
        <w:tcPr>
          <w:tcW w:w="2268" w:type="dxa"/>
          <w:vAlign w:val="center"/>
        </w:tcPr>
        <w:p w:rsidR="00AC28BE" w:rsidRDefault="00EB3798">
          <w:pPr>
            <w:pStyle w:val="Kopfzeile"/>
            <w:rPr>
              <w:rFonts w:cs="Arial"/>
              <w:sz w:val="16"/>
              <w:szCs w:val="20"/>
            </w:rPr>
          </w:pPr>
          <w:proofErr w:type="spellStart"/>
          <w:r>
            <w:rPr>
              <w:rFonts w:cs="Arial"/>
              <w:sz w:val="16"/>
              <w:szCs w:val="20"/>
            </w:rPr>
            <w:t>Rev</w:t>
          </w:r>
          <w:proofErr w:type="spellEnd"/>
          <w:r>
            <w:rPr>
              <w:rFonts w:cs="Arial"/>
              <w:sz w:val="16"/>
              <w:szCs w:val="20"/>
            </w:rPr>
            <w:t>. Nr.: 0</w:t>
          </w:r>
        </w:p>
      </w:tc>
    </w:tr>
    <w:tr w:rsidR="00AC28BE">
      <w:trPr>
        <w:cantSplit/>
        <w:trHeight w:hRule="exact" w:val="284"/>
      </w:trPr>
      <w:tc>
        <w:tcPr>
          <w:tcW w:w="1368" w:type="dxa"/>
          <w:vMerge/>
          <w:vAlign w:val="center"/>
        </w:tcPr>
        <w:p w:rsidR="00AC28BE" w:rsidRDefault="00AC28BE">
          <w:pPr>
            <w:pStyle w:val="Kopfzeile"/>
          </w:pPr>
        </w:p>
      </w:tc>
      <w:tc>
        <w:tcPr>
          <w:tcW w:w="5784" w:type="dxa"/>
          <w:vMerge/>
          <w:vAlign w:val="center"/>
        </w:tcPr>
        <w:p w:rsidR="00AC28BE" w:rsidRDefault="00AC28BE">
          <w:pPr>
            <w:pStyle w:val="Kopfzeile"/>
            <w:rPr>
              <w:rFonts w:cs="Arial"/>
            </w:rPr>
          </w:pPr>
        </w:p>
      </w:tc>
      <w:tc>
        <w:tcPr>
          <w:tcW w:w="2268" w:type="dxa"/>
          <w:vAlign w:val="center"/>
        </w:tcPr>
        <w:p w:rsidR="00AC28BE" w:rsidRDefault="00AC28BE">
          <w:pPr>
            <w:pStyle w:val="Kopfzeile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 xml:space="preserve">Blatt:    </w:t>
          </w:r>
          <w:r>
            <w:rPr>
              <w:rStyle w:val="Seitenzahl"/>
              <w:rFonts w:cs="Arial"/>
              <w:sz w:val="16"/>
              <w:szCs w:val="20"/>
            </w:rPr>
            <w:fldChar w:fldCharType="begin"/>
          </w:r>
          <w:r>
            <w:rPr>
              <w:rStyle w:val="Seitenzahl"/>
              <w:rFonts w:cs="Arial"/>
              <w:sz w:val="16"/>
              <w:szCs w:val="20"/>
            </w:rPr>
            <w:instrText xml:space="preserve"> PAGE </w:instrText>
          </w:r>
          <w:r>
            <w:rPr>
              <w:rStyle w:val="Seitenzahl"/>
              <w:rFonts w:cs="Arial"/>
              <w:sz w:val="16"/>
              <w:szCs w:val="20"/>
            </w:rPr>
            <w:fldChar w:fldCharType="separate"/>
          </w:r>
          <w:r w:rsidR="00FD52E7">
            <w:rPr>
              <w:rStyle w:val="Seitenzahl"/>
              <w:rFonts w:cs="Arial"/>
              <w:noProof/>
              <w:sz w:val="16"/>
              <w:szCs w:val="20"/>
            </w:rPr>
            <w:t>1</w:t>
          </w:r>
          <w:r>
            <w:rPr>
              <w:rStyle w:val="Seitenzahl"/>
              <w:rFonts w:cs="Arial"/>
              <w:sz w:val="16"/>
              <w:szCs w:val="20"/>
            </w:rPr>
            <w:fldChar w:fldCharType="end"/>
          </w:r>
          <w:r>
            <w:rPr>
              <w:rStyle w:val="Seitenzahl"/>
              <w:rFonts w:cs="Arial"/>
              <w:sz w:val="16"/>
              <w:szCs w:val="20"/>
            </w:rPr>
            <w:t xml:space="preserve">    von    </w:t>
          </w:r>
          <w:r>
            <w:rPr>
              <w:rStyle w:val="Seitenzahl"/>
              <w:rFonts w:cs="Arial"/>
              <w:sz w:val="16"/>
              <w:szCs w:val="20"/>
            </w:rPr>
            <w:fldChar w:fldCharType="begin"/>
          </w:r>
          <w:r>
            <w:rPr>
              <w:rStyle w:val="Seitenzahl"/>
              <w:rFonts w:cs="Arial"/>
              <w:sz w:val="16"/>
              <w:szCs w:val="20"/>
            </w:rPr>
            <w:instrText xml:space="preserve"> NUMPAGES </w:instrText>
          </w:r>
          <w:r>
            <w:rPr>
              <w:rStyle w:val="Seitenzahl"/>
              <w:rFonts w:cs="Arial"/>
              <w:sz w:val="16"/>
              <w:szCs w:val="20"/>
            </w:rPr>
            <w:fldChar w:fldCharType="separate"/>
          </w:r>
          <w:r w:rsidR="00FD52E7">
            <w:rPr>
              <w:rStyle w:val="Seitenzahl"/>
              <w:rFonts w:cs="Arial"/>
              <w:noProof/>
              <w:sz w:val="16"/>
              <w:szCs w:val="20"/>
            </w:rPr>
            <w:t>6</w:t>
          </w:r>
          <w:r>
            <w:rPr>
              <w:rStyle w:val="Seitenzahl"/>
              <w:rFonts w:cs="Arial"/>
              <w:sz w:val="16"/>
              <w:szCs w:val="20"/>
            </w:rPr>
            <w:fldChar w:fldCharType="end"/>
          </w:r>
        </w:p>
      </w:tc>
    </w:tr>
  </w:tbl>
  <w:p w:rsidR="00AC28BE" w:rsidRDefault="00AC28BE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43217D"/>
    <w:multiLevelType w:val="hybridMultilevel"/>
    <w:tmpl w:val="FBBAA5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5574A"/>
    <w:multiLevelType w:val="hybridMultilevel"/>
    <w:tmpl w:val="CE8A4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7AE"/>
    <w:multiLevelType w:val="hybridMultilevel"/>
    <w:tmpl w:val="73D8C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4295"/>
    <w:multiLevelType w:val="hybridMultilevel"/>
    <w:tmpl w:val="FA5636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FB4"/>
    <w:multiLevelType w:val="hybridMultilevel"/>
    <w:tmpl w:val="73BE9D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6278"/>
    <w:multiLevelType w:val="hybridMultilevel"/>
    <w:tmpl w:val="5D620D2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B1FB8"/>
    <w:multiLevelType w:val="hybridMultilevel"/>
    <w:tmpl w:val="21040CB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F06F8"/>
    <w:multiLevelType w:val="hybridMultilevel"/>
    <w:tmpl w:val="096E0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052D"/>
    <w:multiLevelType w:val="hybridMultilevel"/>
    <w:tmpl w:val="5C3E36C2"/>
    <w:lvl w:ilvl="0" w:tplc="0407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0" w15:restartNumberingAfterBreak="0">
    <w:nsid w:val="6E951703"/>
    <w:multiLevelType w:val="hybridMultilevel"/>
    <w:tmpl w:val="EA649EEA"/>
    <w:lvl w:ilvl="0" w:tplc="0407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11" w15:restartNumberingAfterBreak="0">
    <w:nsid w:val="751456BA"/>
    <w:multiLevelType w:val="hybridMultilevel"/>
    <w:tmpl w:val="E54408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C"/>
    <w:rsid w:val="000209A5"/>
    <w:rsid w:val="00094C3E"/>
    <w:rsid w:val="000F61FC"/>
    <w:rsid w:val="003B101F"/>
    <w:rsid w:val="00413BDC"/>
    <w:rsid w:val="00731342"/>
    <w:rsid w:val="007C0DCE"/>
    <w:rsid w:val="00AC28BE"/>
    <w:rsid w:val="00CA6F4D"/>
    <w:rsid w:val="00D316C3"/>
    <w:rsid w:val="00D330D2"/>
    <w:rsid w:val="00D65B8E"/>
    <w:rsid w:val="00EB3798"/>
    <w:rsid w:val="00FC728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5DAF9"/>
  <w15:docId w15:val="{EDBEC6DE-FD6C-4F12-BDB8-D54B92E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/>
      <w:jc w:val="both"/>
      <w:outlineLvl w:val="4"/>
    </w:pPr>
    <w:rPr>
      <w:sz w:val="22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/>
      <w:jc w:val="both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jc w:val="both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jc w:val="both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Kundenzufriedenheit</a:t>
            </a:r>
          </a:p>
        </c:rich>
      </c:tx>
      <c:layout>
        <c:manualLayout>
          <c:xMode val="edge"/>
          <c:yMode val="edge"/>
          <c:x val="0.39898989898989901"/>
          <c:y val="1.91570881226053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542087542087546E-2"/>
          <c:y val="0.18773946360153257"/>
          <c:w val="0.89730639730639727"/>
          <c:h val="0.54406130268199238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Tabelle1!$B$4</c:f>
              <c:strCache>
                <c:ptCount val="1"/>
                <c:pt idx="0">
                  <c:v>Durch schnitt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Tabelle1!$A$5:$A$9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Tabelle1!$B$5:$B$9</c:f>
              <c:numCache>
                <c:formatCode>0.00</c:formatCode>
                <c:ptCount val="5"/>
                <c:pt idx="0">
                  <c:v>1.0579710144927537</c:v>
                </c:pt>
                <c:pt idx="1">
                  <c:v>1.065359477124183</c:v>
                </c:pt>
                <c:pt idx="2">
                  <c:v>1.1243781094527363</c:v>
                </c:pt>
                <c:pt idx="3">
                  <c:v>1.1677215189873418</c:v>
                </c:pt>
                <c:pt idx="4">
                  <c:v>1.04375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DF-4DAC-8ED5-696020296039}"/>
            </c:ext>
          </c:extLst>
        </c:ser>
        <c:ser>
          <c:idx val="1"/>
          <c:order val="1"/>
          <c:tx>
            <c:strRef>
              <c:f>Tabelle1!$C$4</c:f>
              <c:strCache>
                <c:ptCount val="1"/>
                <c:pt idx="0">
                  <c:v>Grenzwert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Tabelle1!$A$5:$A$9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Tabelle1!$C$5:$C$9</c:f>
              <c:numCache>
                <c:formatCode>0.00</c:formatCode>
                <c:ptCount val="5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DF-4DAC-8ED5-6960202960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7915424"/>
        <c:axId val="157899496"/>
      </c:lineChart>
      <c:catAx>
        <c:axId val="1579154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8821548821548821"/>
              <c:y val="0.80076628352490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899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899496"/>
        <c:scaling>
          <c:orientation val="minMax"/>
          <c:min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Wert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9846743295019155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915424"/>
        <c:crosses val="autoZero"/>
        <c:crossBetween val="between"/>
        <c:majorUnit val="0.45989999999999998"/>
        <c:minorUnit val="0.45989999999999998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077441077441079"/>
          <c:y val="0.92720306513409967"/>
          <c:w val="0.24579124579124578"/>
          <c:h val="6.130268199233716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Lieferantenreklamation</a:t>
            </a:r>
          </a:p>
        </c:rich>
      </c:tx>
      <c:layout>
        <c:manualLayout>
          <c:xMode val="edge"/>
          <c:yMode val="edge"/>
          <c:x val="0.38720538720538722"/>
          <c:y val="2.134146341463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74410774410774"/>
          <c:y val="0.1676829268292683"/>
          <c:w val="0.87710437710437705"/>
          <c:h val="0.4603658536585366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Tabelle1!$B$323</c:f>
              <c:strCache>
                <c:ptCount val="1"/>
                <c:pt idx="0">
                  <c:v>SOLL Wert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Tabelle1!$A$324:$A$328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Tabelle1!$B$324:$B$328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BA-424F-94EF-1F56B031B0FF}"/>
            </c:ext>
          </c:extLst>
        </c:ser>
        <c:ser>
          <c:idx val="1"/>
          <c:order val="1"/>
          <c:tx>
            <c:strRef>
              <c:f>Tabelle1!$C$323</c:f>
              <c:strCache>
                <c:ptCount val="1"/>
                <c:pt idx="0">
                  <c:v>Anteil reklamierter Bestellungen A-Lieferanten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ysDash"/>
            </a:ln>
          </c:spPr>
          <c:marker>
            <c:symbol val="none"/>
          </c:marker>
          <c:cat>
            <c:strRef>
              <c:f>Tabelle1!$A$324:$A$328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Tabelle1!$C$324:$C$328</c:f>
              <c:numCache>
                <c:formatCode>#,##0.00</c:formatCode>
                <c:ptCount val="5"/>
                <c:pt idx="0">
                  <c:v>2.1739130434782608E-2</c:v>
                </c:pt>
                <c:pt idx="1">
                  <c:v>2.7027027027027029E-2</c:v>
                </c:pt>
                <c:pt idx="2">
                  <c:v>4.6511627906976744E-2</c:v>
                </c:pt>
                <c:pt idx="3">
                  <c:v>0.06</c:v>
                </c:pt>
                <c:pt idx="4">
                  <c:v>5.7692307692307696E-2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BA-424F-94EF-1F56B031B0FF}"/>
            </c:ext>
          </c:extLst>
        </c:ser>
        <c:ser>
          <c:idx val="2"/>
          <c:order val="2"/>
          <c:tx>
            <c:strRef>
              <c:f>Tabelle1!$D$323</c:f>
              <c:strCache>
                <c:ptCount val="1"/>
                <c:pt idx="0">
                  <c:v>SOLL Wert</c:v>
                </c:pt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Tabelle1!$A$324:$A$328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Tabelle1!$D$324:$D$328</c:f>
              <c:numCache>
                <c:formatCode>0.00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BA-424F-94EF-1F56B031B0FF}"/>
            </c:ext>
          </c:extLst>
        </c:ser>
        <c:ser>
          <c:idx val="3"/>
          <c:order val="3"/>
          <c:tx>
            <c:strRef>
              <c:f>Tabelle1!$E$323</c:f>
              <c:strCache>
                <c:ptCount val="1"/>
                <c:pt idx="0">
                  <c:v>Anteil reklamierter Bestellungen B-Lieferanten</c:v>
                </c:pt>
              </c:strCache>
            </c:strRef>
          </c:tx>
          <c:spPr>
            <a:ln w="25400">
              <a:solidFill>
                <a:srgbClr val="FF6600"/>
              </a:solidFill>
              <a:prstDash val="sysDash"/>
            </a:ln>
          </c:spPr>
          <c:marker>
            <c:symbol val="none"/>
          </c:marker>
          <c:cat>
            <c:strRef>
              <c:f>Tabelle1!$A$324:$A$328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Tabelle1!$E$324:$E$328</c:f>
              <c:numCache>
                <c:formatCode>0.00</c:formatCode>
                <c:ptCount val="5"/>
                <c:pt idx="0">
                  <c:v>0.125</c:v>
                </c:pt>
                <c:pt idx="1">
                  <c:v>0.33333333333333331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BA-424F-94EF-1F56B031B0FF}"/>
            </c:ext>
          </c:extLst>
        </c:ser>
        <c:ser>
          <c:idx val="4"/>
          <c:order val="4"/>
          <c:tx>
            <c:strRef>
              <c:f>Tabelle1!$F$323</c:f>
              <c:strCache>
                <c:ptCount val="1"/>
                <c:pt idx="0">
                  <c:v>SOLL Wert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strRef>
              <c:f>Tabelle1!$A$324:$A$328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Tabelle1!$F$324:$F$328</c:f>
              <c:numCache>
                <c:formatCode>0.00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BA-424F-94EF-1F56B031B0FF}"/>
            </c:ext>
          </c:extLst>
        </c:ser>
        <c:ser>
          <c:idx val="5"/>
          <c:order val="5"/>
          <c:tx>
            <c:strRef>
              <c:f>Tabelle1!$G$323</c:f>
              <c:strCache>
                <c:ptCount val="1"/>
                <c:pt idx="0">
                  <c:v>Anteil reklamierter Bestellungen C-Lieferanten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ysDash"/>
            </a:ln>
          </c:spPr>
          <c:marker>
            <c:symbol val="none"/>
          </c:marker>
          <c:cat>
            <c:strRef>
              <c:f>Tabelle1!$A$324:$A$328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Tabelle1!$G$324:$G$328</c:f>
              <c:numCache>
                <c:formatCode>0.00</c:formatCode>
                <c:ptCount val="5"/>
                <c:pt idx="0">
                  <c:v>0.25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BA-424F-94EF-1F56B031B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449264"/>
        <c:axId val="158449656"/>
      </c:lineChart>
      <c:catAx>
        <c:axId val="15844926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9831649831649832"/>
              <c:y val="0.707317073170731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9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9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Wert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4756097560975607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9264"/>
        <c:crosses val="autoZero"/>
        <c:crossBetween val="between"/>
        <c:majorUnit val="0.0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8821548821548821E-2"/>
          <c:y val="0.80792682926829273"/>
          <c:w val="0.89898989898989901"/>
          <c:h val="0.1829268292682926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Grund für Lieferantenreklamation</a:t>
            </a:r>
          </a:p>
        </c:rich>
      </c:tx>
      <c:layout>
        <c:manualLayout>
          <c:xMode val="edge"/>
          <c:yMode val="edge"/>
          <c:x val="0.34006734006734007"/>
          <c:y val="2.181818181818182E-2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90572390572394E-2"/>
          <c:y val="0.18181818181818182"/>
          <c:w val="0.91245791245791241"/>
          <c:h val="0.39636363636363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Tabelle1!$A$370</c:f>
              <c:strCache>
                <c:ptCount val="1"/>
                <c:pt idx="0">
                  <c:v>I-VI 2009</c:v>
                </c:pt>
              </c:strCache>
            </c:strRef>
          </c:tx>
          <c:spPr>
            <a:solidFill>
              <a:srgbClr val="00FF0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Tabelle1!$B$368:$M$369</c:f>
              <c:multiLvlStrCache>
                <c:ptCount val="12"/>
                <c:lvl>
                  <c:pt idx="0">
                    <c:v>gesamt</c:v>
                  </c:pt>
                  <c:pt idx="1">
                    <c:v>Fehllieferung</c:v>
                  </c:pt>
                  <c:pt idx="2">
                    <c:v>beschädigt</c:v>
                  </c:pt>
                  <c:pt idx="3">
                    <c:v>zu spät</c:v>
                  </c:pt>
                  <c:pt idx="4">
                    <c:v>gesamt</c:v>
                  </c:pt>
                  <c:pt idx="5">
                    <c:v>Fehllieferung</c:v>
                  </c:pt>
                  <c:pt idx="6">
                    <c:v>beschädigt</c:v>
                  </c:pt>
                  <c:pt idx="7">
                    <c:v>zu spät</c:v>
                  </c:pt>
                  <c:pt idx="8">
                    <c:v>gesamt</c:v>
                  </c:pt>
                  <c:pt idx="9">
                    <c:v>Fehllieferung</c:v>
                  </c:pt>
                  <c:pt idx="10">
                    <c:v>beschädigt</c:v>
                  </c:pt>
                  <c:pt idx="11">
                    <c:v>zu spät</c:v>
                  </c:pt>
                </c:lvl>
                <c:lvl>
                  <c:pt idx="0">
                    <c:v>Reklamationen A-Lieferanten</c:v>
                  </c:pt>
                  <c:pt idx="4">
                    <c:v>Reklamationen B-Lieferanten</c:v>
                  </c:pt>
                  <c:pt idx="8">
                    <c:v>Reklamationen C-Lieferanten</c:v>
                  </c:pt>
                </c:lvl>
              </c:multiLvlStrCache>
            </c:multiLvlStrRef>
          </c:cat>
          <c:val>
            <c:numRef>
              <c:f>Tabelle1!$B$370:$M$370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8-45CC-A0F7-F5FD95FED194}"/>
            </c:ext>
          </c:extLst>
        </c:ser>
        <c:ser>
          <c:idx val="1"/>
          <c:order val="1"/>
          <c:tx>
            <c:strRef>
              <c:f>Tabelle1!$A$371</c:f>
              <c:strCache>
                <c:ptCount val="1"/>
                <c:pt idx="0">
                  <c:v>VII-XII 2009</c:v>
                </c:pt>
              </c:strCache>
            </c:strRef>
          </c:tx>
          <c:spPr>
            <a:solidFill>
              <a:srgbClr val="FFFF0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Tabelle1!$B$368:$M$369</c:f>
              <c:multiLvlStrCache>
                <c:ptCount val="12"/>
                <c:lvl>
                  <c:pt idx="0">
                    <c:v>gesamt</c:v>
                  </c:pt>
                  <c:pt idx="1">
                    <c:v>Fehllieferung</c:v>
                  </c:pt>
                  <c:pt idx="2">
                    <c:v>beschädigt</c:v>
                  </c:pt>
                  <c:pt idx="3">
                    <c:v>zu spät</c:v>
                  </c:pt>
                  <c:pt idx="4">
                    <c:v>gesamt</c:v>
                  </c:pt>
                  <c:pt idx="5">
                    <c:v>Fehllieferung</c:v>
                  </c:pt>
                  <c:pt idx="6">
                    <c:v>beschädigt</c:v>
                  </c:pt>
                  <c:pt idx="7">
                    <c:v>zu spät</c:v>
                  </c:pt>
                  <c:pt idx="8">
                    <c:v>gesamt</c:v>
                  </c:pt>
                  <c:pt idx="9">
                    <c:v>Fehllieferung</c:v>
                  </c:pt>
                  <c:pt idx="10">
                    <c:v>beschädigt</c:v>
                  </c:pt>
                  <c:pt idx="11">
                    <c:v>zu spät</c:v>
                  </c:pt>
                </c:lvl>
                <c:lvl>
                  <c:pt idx="0">
                    <c:v>Reklamationen A-Lieferanten</c:v>
                  </c:pt>
                  <c:pt idx="4">
                    <c:v>Reklamationen B-Lieferanten</c:v>
                  </c:pt>
                  <c:pt idx="8">
                    <c:v>Reklamationen C-Lieferanten</c:v>
                  </c:pt>
                </c:lvl>
              </c:multiLvlStrCache>
            </c:multiLvlStrRef>
          </c:cat>
          <c:val>
            <c:numRef>
              <c:f>Tabelle1!$B$371:$M$371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48-45CC-A0F7-F5FD95FED194}"/>
            </c:ext>
          </c:extLst>
        </c:ser>
        <c:ser>
          <c:idx val="2"/>
          <c:order val="2"/>
          <c:tx>
            <c:strRef>
              <c:f>Tabelle1!$A$372</c:f>
              <c:strCache>
                <c:ptCount val="1"/>
                <c:pt idx="0">
                  <c:v>I-VI 2010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Tabelle1!$B$368:$M$369</c:f>
              <c:multiLvlStrCache>
                <c:ptCount val="12"/>
                <c:lvl>
                  <c:pt idx="0">
                    <c:v>gesamt</c:v>
                  </c:pt>
                  <c:pt idx="1">
                    <c:v>Fehllieferung</c:v>
                  </c:pt>
                  <c:pt idx="2">
                    <c:v>beschädigt</c:v>
                  </c:pt>
                  <c:pt idx="3">
                    <c:v>zu spät</c:v>
                  </c:pt>
                  <c:pt idx="4">
                    <c:v>gesamt</c:v>
                  </c:pt>
                  <c:pt idx="5">
                    <c:v>Fehllieferung</c:v>
                  </c:pt>
                  <c:pt idx="6">
                    <c:v>beschädigt</c:v>
                  </c:pt>
                  <c:pt idx="7">
                    <c:v>zu spät</c:v>
                  </c:pt>
                  <c:pt idx="8">
                    <c:v>gesamt</c:v>
                  </c:pt>
                  <c:pt idx="9">
                    <c:v>Fehllieferung</c:v>
                  </c:pt>
                  <c:pt idx="10">
                    <c:v>beschädigt</c:v>
                  </c:pt>
                  <c:pt idx="11">
                    <c:v>zu spät</c:v>
                  </c:pt>
                </c:lvl>
                <c:lvl>
                  <c:pt idx="0">
                    <c:v>Reklamationen A-Lieferanten</c:v>
                  </c:pt>
                  <c:pt idx="4">
                    <c:v>Reklamationen B-Lieferanten</c:v>
                  </c:pt>
                  <c:pt idx="8">
                    <c:v>Reklamationen C-Lieferanten</c:v>
                  </c:pt>
                </c:lvl>
              </c:multiLvlStrCache>
            </c:multiLvlStrRef>
          </c:cat>
          <c:val>
            <c:numRef>
              <c:f>Tabelle1!$B$372:$M$372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48-45CC-A0F7-F5FD95FED194}"/>
            </c:ext>
          </c:extLst>
        </c:ser>
        <c:ser>
          <c:idx val="3"/>
          <c:order val="3"/>
          <c:tx>
            <c:strRef>
              <c:f>Tabelle1!$A$373</c:f>
              <c:strCache>
                <c:ptCount val="1"/>
                <c:pt idx="0">
                  <c:v>VII-XII 2010</c:v>
                </c:pt>
              </c:strCache>
            </c:strRef>
          </c:tx>
          <c:spPr>
            <a:solidFill>
              <a:srgbClr val="00CC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Tabelle1!$B$368:$M$369</c:f>
              <c:multiLvlStrCache>
                <c:ptCount val="12"/>
                <c:lvl>
                  <c:pt idx="0">
                    <c:v>gesamt</c:v>
                  </c:pt>
                  <c:pt idx="1">
                    <c:v>Fehllieferung</c:v>
                  </c:pt>
                  <c:pt idx="2">
                    <c:v>beschädigt</c:v>
                  </c:pt>
                  <c:pt idx="3">
                    <c:v>zu spät</c:v>
                  </c:pt>
                  <c:pt idx="4">
                    <c:v>gesamt</c:v>
                  </c:pt>
                  <c:pt idx="5">
                    <c:v>Fehllieferung</c:v>
                  </c:pt>
                  <c:pt idx="6">
                    <c:v>beschädigt</c:v>
                  </c:pt>
                  <c:pt idx="7">
                    <c:v>zu spät</c:v>
                  </c:pt>
                  <c:pt idx="8">
                    <c:v>gesamt</c:v>
                  </c:pt>
                  <c:pt idx="9">
                    <c:v>Fehllieferung</c:v>
                  </c:pt>
                  <c:pt idx="10">
                    <c:v>beschädigt</c:v>
                  </c:pt>
                  <c:pt idx="11">
                    <c:v>zu spät</c:v>
                  </c:pt>
                </c:lvl>
                <c:lvl>
                  <c:pt idx="0">
                    <c:v>Reklamationen A-Lieferanten</c:v>
                  </c:pt>
                  <c:pt idx="4">
                    <c:v>Reklamationen B-Lieferanten</c:v>
                  </c:pt>
                  <c:pt idx="8">
                    <c:v>Reklamationen C-Lieferanten</c:v>
                  </c:pt>
                </c:lvl>
              </c:multiLvlStrCache>
            </c:multiLvlStrRef>
          </c:cat>
          <c:val>
            <c:numRef>
              <c:f>Tabelle1!$B$373:$M$373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48-45CC-A0F7-F5FD95FED194}"/>
            </c:ext>
          </c:extLst>
        </c:ser>
        <c:ser>
          <c:idx val="4"/>
          <c:order val="4"/>
          <c:tx>
            <c:strRef>
              <c:f>Tabelle1!$A$374</c:f>
              <c:strCache>
                <c:ptCount val="1"/>
                <c:pt idx="0">
                  <c:v>I-VI 2011</c:v>
                </c:pt>
              </c:strCache>
            </c:strRef>
          </c:tx>
          <c:spPr>
            <a:solidFill>
              <a:srgbClr val="6600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cat>
            <c:multiLvlStrRef>
              <c:f>Tabelle1!$B$368:$M$369</c:f>
              <c:multiLvlStrCache>
                <c:ptCount val="12"/>
                <c:lvl>
                  <c:pt idx="0">
                    <c:v>gesamt</c:v>
                  </c:pt>
                  <c:pt idx="1">
                    <c:v>Fehllieferung</c:v>
                  </c:pt>
                  <c:pt idx="2">
                    <c:v>beschädigt</c:v>
                  </c:pt>
                  <c:pt idx="3">
                    <c:v>zu spät</c:v>
                  </c:pt>
                  <c:pt idx="4">
                    <c:v>gesamt</c:v>
                  </c:pt>
                  <c:pt idx="5">
                    <c:v>Fehllieferung</c:v>
                  </c:pt>
                  <c:pt idx="6">
                    <c:v>beschädigt</c:v>
                  </c:pt>
                  <c:pt idx="7">
                    <c:v>zu spät</c:v>
                  </c:pt>
                  <c:pt idx="8">
                    <c:v>gesamt</c:v>
                  </c:pt>
                  <c:pt idx="9">
                    <c:v>Fehllieferung</c:v>
                  </c:pt>
                  <c:pt idx="10">
                    <c:v>beschädigt</c:v>
                  </c:pt>
                  <c:pt idx="11">
                    <c:v>zu spät</c:v>
                  </c:pt>
                </c:lvl>
                <c:lvl>
                  <c:pt idx="0">
                    <c:v>Reklamationen A-Lieferanten</c:v>
                  </c:pt>
                  <c:pt idx="4">
                    <c:v>Reklamationen B-Lieferanten</c:v>
                  </c:pt>
                  <c:pt idx="8">
                    <c:v>Reklamationen C-Lieferanten</c:v>
                  </c:pt>
                </c:lvl>
              </c:multiLvlStrCache>
            </c:multiLvlStrRef>
          </c:cat>
          <c:val>
            <c:numRef>
              <c:f>Tabelle1!$B$374:$M$374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48-45CC-A0F7-F5FD95FED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456256"/>
        <c:axId val="383460960"/>
      </c:barChart>
      <c:catAx>
        <c:axId val="38345625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8989898989898989"/>
              <c:y val="0.83272727272727276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8346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3460960"/>
        <c:scaling>
          <c:orientation val="minMax"/>
          <c:max val="1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Anzahl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1272727272727274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83456256"/>
        <c:crosses val="autoZero"/>
        <c:crossBetween val="between"/>
        <c:majorUnit val="1"/>
        <c:minorUnit val="1"/>
      </c:valAx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1481481481481483"/>
          <c:y val="0.93090909090909091"/>
          <c:w val="0.42424242424242425"/>
          <c:h val="5.8181818181818182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5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5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Verhältnis Angebotsanzahl zu Auftragsanzahl</a:t>
            </a:r>
          </a:p>
        </c:rich>
      </c:tx>
      <c:layout>
        <c:manualLayout>
          <c:xMode val="edge"/>
          <c:yMode val="edge"/>
          <c:x val="0.28619528619528617"/>
          <c:y val="1.91570881226053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74410774410774"/>
          <c:y val="0.19923371647509577"/>
          <c:w val="0.87710437710437705"/>
          <c:h val="0.4789272030651340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Tabelle1!$B$39</c:f>
              <c:strCache>
                <c:ptCount val="1"/>
                <c:pt idx="0">
                  <c:v>Faktor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Tabelle1!$A$40:$A$44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Tabelle1!$B$40:$B$44</c:f>
              <c:numCache>
                <c:formatCode>0.00</c:formatCode>
                <c:ptCount val="5"/>
                <c:pt idx="0">
                  <c:v>0.31621004566210048</c:v>
                </c:pt>
                <c:pt idx="1">
                  <c:v>0.30139720558882238</c:v>
                </c:pt>
                <c:pt idx="2">
                  <c:v>0.31752751905165116</c:v>
                </c:pt>
                <c:pt idx="3">
                  <c:v>0.35971223021582732</c:v>
                </c:pt>
                <c:pt idx="4">
                  <c:v>0.35464772054470101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D8-4ADD-B822-651164268916}"/>
            </c:ext>
          </c:extLst>
        </c:ser>
        <c:ser>
          <c:idx val="1"/>
          <c:order val="1"/>
          <c:tx>
            <c:strRef>
              <c:f>Tabelle1!$C$39</c:f>
              <c:strCache>
                <c:ptCount val="1"/>
                <c:pt idx="0">
                  <c:v>Grenzwert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Tabelle1!$A$40:$A$44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Tabelle1!$C$40:$C$44</c:f>
              <c:numCache>
                <c:formatCode>General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D8-4ADD-B822-6511642689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7946400"/>
        <c:axId val="157946784"/>
      </c:lineChart>
      <c:catAx>
        <c:axId val="1579464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9831649831649832"/>
              <c:y val="0.7777777777777777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94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946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Faktor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601532567049808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9464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582491582491582"/>
          <c:y val="0.90421455938697315"/>
          <c:w val="0.25589225589225589"/>
          <c:h val="8.429118773946360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Verhältnis Angebotswert zu Auftragswert</a:t>
            </a:r>
          </a:p>
        </c:rich>
      </c:tx>
      <c:layout>
        <c:manualLayout>
          <c:xMode val="edge"/>
          <c:yMode val="edge"/>
          <c:x val="0.30134680134680136"/>
          <c:y val="1.8796992481203006E-2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74410774410774"/>
          <c:y val="0.19924812030075187"/>
          <c:w val="0.87710437710437705"/>
          <c:h val="0.4849624060150375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Tabelle1!$B$75</c:f>
              <c:strCache>
                <c:ptCount val="1"/>
                <c:pt idx="0">
                  <c:v>Faktor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Tabelle1!$A$76:$A$80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Tabelle1!$B$76:$B$80</c:f>
              <c:numCache>
                <c:formatCode>0.00</c:formatCode>
                <c:ptCount val="5"/>
                <c:pt idx="0">
                  <c:v>0.87597775656472443</c:v>
                </c:pt>
                <c:pt idx="1">
                  <c:v>0.70732260443075035</c:v>
                </c:pt>
                <c:pt idx="2">
                  <c:v>1.1003841445495988</c:v>
                </c:pt>
                <c:pt idx="3">
                  <c:v>1.1209598933352531</c:v>
                </c:pt>
                <c:pt idx="4">
                  <c:v>1.0605122432386034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0C-4F9B-87B0-68D138890BC0}"/>
            </c:ext>
          </c:extLst>
        </c:ser>
        <c:ser>
          <c:idx val="1"/>
          <c:order val="1"/>
          <c:tx>
            <c:strRef>
              <c:f>Tabelle1!$C$75</c:f>
              <c:strCache>
                <c:ptCount val="1"/>
                <c:pt idx="0">
                  <c:v>Grenzwert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Tabelle1!$A$76:$A$80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Tabelle1!$C$76:$C$80</c:f>
              <c:numCache>
                <c:formatCode>#,##0.00</c:formatCode>
                <c:ptCount val="5"/>
                <c:pt idx="0">
                  <c:v>1.25</c:v>
                </c:pt>
                <c:pt idx="1">
                  <c:v>1.25</c:v>
                </c:pt>
                <c:pt idx="2">
                  <c:v>1.25</c:v>
                </c:pt>
                <c:pt idx="3">
                  <c:v>1.25</c:v>
                </c:pt>
                <c:pt idx="4">
                  <c:v>1.25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0C-4F9B-87B0-68D138890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8231768"/>
        <c:axId val="158120736"/>
      </c:lineChart>
      <c:catAx>
        <c:axId val="15823176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9831649831649832"/>
              <c:y val="0.78195488721804507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12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120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Faktor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6466165413533835"/>
            </c:manualLayout>
          </c:layout>
          <c:overlay val="0"/>
          <c:spPr>
            <a:noFill/>
            <a:ln w="25398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231768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582491582491582"/>
          <c:y val="0.90601503759398494"/>
          <c:w val="0.25589225589225589"/>
          <c:h val="8.27067669172932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Fertigungskosten</a:t>
            </a:r>
          </a:p>
        </c:rich>
      </c:tx>
      <c:layout>
        <c:manualLayout>
          <c:xMode val="edge"/>
          <c:yMode val="edge"/>
          <c:x val="0.40572390572390571"/>
          <c:y val="2.08955223880597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141414141414141"/>
          <c:y val="0.17014925373134329"/>
          <c:w val="0.84343434343434343"/>
          <c:h val="0.522388059701492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Tabelle1!$B$109</c:f>
              <c:strCache>
                <c:ptCount val="1"/>
                <c:pt idx="0">
                  <c:v>Wert pro Auftrag Drupo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olid"/>
            </a:ln>
          </c:spPr>
          <c:marker>
            <c:symbol val="none"/>
          </c:marker>
          <c:cat>
            <c:strRef>
              <c:f>Tabelle1!$A$110:$A$114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Tabelle1!$B$110:$B$114</c:f>
              <c:numCache>
                <c:formatCode>_("€"* #,##0.00_);_("€"* \(#,##0.00\);_("€"* "-"??_);_(@_)</c:formatCode>
                <c:ptCount val="5"/>
                <c:pt idx="0">
                  <c:v>28.776070901033972</c:v>
                </c:pt>
                <c:pt idx="1">
                  <c:v>28.368207745421795</c:v>
                </c:pt>
                <c:pt idx="2">
                  <c:v>25.997087813620073</c:v>
                </c:pt>
                <c:pt idx="3">
                  <c:v>26.873834196891192</c:v>
                </c:pt>
                <c:pt idx="4">
                  <c:v>26.967593984962406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EA-4CE7-A142-E4849DDBD69B}"/>
            </c:ext>
          </c:extLst>
        </c:ser>
        <c:ser>
          <c:idx val="1"/>
          <c:order val="1"/>
          <c:tx>
            <c:strRef>
              <c:f>Tabelle1!$C$109</c:f>
              <c:strCache>
                <c:ptCount val="1"/>
                <c:pt idx="0">
                  <c:v>Grenzwert Drupo</c:v>
                </c:pt>
              </c:strCache>
            </c:strRef>
          </c:tx>
          <c:spPr>
            <a:ln w="25400">
              <a:solidFill>
                <a:srgbClr val="3366FF"/>
              </a:solidFill>
              <a:prstDash val="sysDash"/>
            </a:ln>
          </c:spPr>
          <c:marker>
            <c:symbol val="none"/>
          </c:marker>
          <c:cat>
            <c:strRef>
              <c:f>Tabelle1!$A$110:$A$114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Tabelle1!$C$110:$C$114</c:f>
              <c:numCache>
                <c:formatCode>_("€"* #,##0.00_);_("€"* \(#,##0.00\);_("€"* "-"??_);_(@_)</c:formatCode>
                <c:ptCount val="5"/>
                <c:pt idx="0">
                  <c:v>33.5</c:v>
                </c:pt>
                <c:pt idx="1">
                  <c:v>33.5</c:v>
                </c:pt>
                <c:pt idx="2">
                  <c:v>33.5</c:v>
                </c:pt>
                <c:pt idx="3">
                  <c:v>33.5</c:v>
                </c:pt>
                <c:pt idx="4">
                  <c:v>33.5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EA-4CE7-A142-E4849DDBD69B}"/>
            </c:ext>
          </c:extLst>
        </c:ser>
        <c:ser>
          <c:idx val="2"/>
          <c:order val="2"/>
          <c:tx>
            <c:strRef>
              <c:f>Tabelle1!$D$109</c:f>
              <c:strCache>
                <c:ptCount val="1"/>
                <c:pt idx="0">
                  <c:v>Wert pro Auftrag Garsten</c:v>
                </c:pt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Tabelle1!$A$110:$A$114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Tabelle1!$D$110:$D$114</c:f>
              <c:numCache>
                <c:formatCode>_("€"* #,##0.00_);_("€"* \(#,##0.00\);_("€"* "-"??_);_(@_)</c:formatCode>
                <c:ptCount val="5"/>
                <c:pt idx="0">
                  <c:v>7.7290510356030868</c:v>
                </c:pt>
                <c:pt idx="1">
                  <c:v>7.7375570302778929</c:v>
                </c:pt>
                <c:pt idx="2">
                  <c:v>6.8029645697758498</c:v>
                </c:pt>
                <c:pt idx="3">
                  <c:v>6.4881805540699542</c:v>
                </c:pt>
                <c:pt idx="4">
                  <c:v>6.2175061633281965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EA-4CE7-A142-E4849DDBD69B}"/>
            </c:ext>
          </c:extLst>
        </c:ser>
        <c:ser>
          <c:idx val="3"/>
          <c:order val="3"/>
          <c:tx>
            <c:strRef>
              <c:f>Tabelle1!$E$109</c:f>
              <c:strCache>
                <c:ptCount val="1"/>
                <c:pt idx="0">
                  <c:v>Grenzwert Garsten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Tabelle1!$A$110:$A$114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Tabelle1!$E$110:$E$114</c:f>
              <c:numCache>
                <c:formatCode>_("€"* #,##0.00_);_("€"* \(#,##0.00\);_("€"* "-"??_);_(@_)</c:formatCode>
                <c:ptCount val="5"/>
                <c:pt idx="0">
                  <c:v>7.8</c:v>
                </c:pt>
                <c:pt idx="1">
                  <c:v>7.8</c:v>
                </c:pt>
                <c:pt idx="2">
                  <c:v>7.8</c:v>
                </c:pt>
                <c:pt idx="3">
                  <c:v>7.8</c:v>
                </c:pt>
                <c:pt idx="4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CEA-4CE7-A142-E4849DDBD69B}"/>
            </c:ext>
          </c:extLst>
        </c:ser>
        <c:ser>
          <c:idx val="4"/>
          <c:order val="4"/>
          <c:tx>
            <c:strRef>
              <c:f>Tabelle1!$F$109</c:f>
              <c:strCache>
                <c:ptCount val="1"/>
                <c:pt idx="0">
                  <c:v>Wert pro Auftrag Sonstige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strRef>
              <c:f>Tabelle1!$A$110:$A$114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Tabelle1!$F$110:$F$114</c:f>
              <c:numCache>
                <c:formatCode>_("€"* #,##0.00_);_("€"* \(#,##0.00\);_("€"* "-"??_);_(@_)</c:formatCode>
                <c:ptCount val="5"/>
                <c:pt idx="0">
                  <c:v>23.837499999999999</c:v>
                </c:pt>
                <c:pt idx="1">
                  <c:v>25.040495867768595</c:v>
                </c:pt>
                <c:pt idx="2">
                  <c:v>25.025510204081634</c:v>
                </c:pt>
                <c:pt idx="3">
                  <c:v>0</c:v>
                </c:pt>
                <c:pt idx="4">
                  <c:v>19.481347773766547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CEA-4CE7-A142-E4849DDBD69B}"/>
            </c:ext>
          </c:extLst>
        </c:ser>
        <c:ser>
          <c:idx val="5"/>
          <c:order val="5"/>
          <c:tx>
            <c:strRef>
              <c:f>Tabelle1!$G$109</c:f>
              <c:strCache>
                <c:ptCount val="1"/>
                <c:pt idx="0">
                  <c:v>Grenzwert Sonstige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ysDash"/>
            </a:ln>
          </c:spPr>
          <c:marker>
            <c:symbol val="none"/>
          </c:marker>
          <c:cat>
            <c:strRef>
              <c:f>Tabelle1!$A$110:$A$114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Tabelle1!$G$110:$G$114</c:f>
              <c:numCache>
                <c:formatCode>_("€"* #,##0.00_);_("€"* \(#,##0.00\);_("€"* "-"??_);_(@_)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28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CEA-4CE7-A142-E4849DDBD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466824"/>
        <c:axId val="158765064"/>
      </c:lineChart>
      <c:catAx>
        <c:axId val="1574668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51515151515151514"/>
              <c:y val="0.770149253731343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765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765064"/>
        <c:scaling>
          <c:orientation val="minMax"/>
          <c:min val="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Wert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8208955223880597"/>
            </c:manualLayout>
          </c:layout>
          <c:overlay val="0"/>
          <c:spPr>
            <a:noFill/>
            <a:ln w="25400">
              <a:noFill/>
            </a:ln>
          </c:spPr>
        </c:title>
        <c:numFmt formatCode="_(&quot;€&quot;* #,##0.00_);_(&quot;€&quot;* \(#,##0.00\);_(&quot;€&quot;* &quot;-&quot;??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466824"/>
        <c:crosses val="autoZero"/>
        <c:crossBetween val="between"/>
        <c:majorUnit val="1"/>
        <c:minorUnit val="0.2822321428571428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2289562289562291E-2"/>
          <c:y val="0.86865671641791042"/>
          <c:w val="0.87205387205387208"/>
          <c:h val="0.122388059701492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Lieferzeit der Konfektionäre</a:t>
            </a:r>
          </a:p>
        </c:rich>
      </c:tx>
      <c:layout>
        <c:manualLayout>
          <c:xMode val="edge"/>
          <c:yMode val="edge"/>
          <c:x val="0.34905660377358488"/>
          <c:y val="2.1052631578947368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"/>
          <c:y val="0.17543859649122806"/>
          <c:w val="0.88301886792452833"/>
          <c:h val="0.53333333333333333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Tabelle1!$B$131</c:f>
              <c:strCache>
                <c:ptCount val="1"/>
                <c:pt idx="0">
                  <c:v>Durchschnitt Drupo</c:v>
                </c:pt>
              </c:strCache>
            </c:strRef>
          </c:tx>
          <c:spPr>
            <a:ln w="25399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Tabelle1!$A$132:$A$136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Tabelle1!$B$132:$B$136</c:f>
              <c:numCache>
                <c:formatCode>0.00</c:formatCode>
                <c:ptCount val="5"/>
                <c:pt idx="0">
                  <c:v>1.0714285714285714</c:v>
                </c:pt>
                <c:pt idx="1">
                  <c:v>0.94354838709677424</c:v>
                </c:pt>
                <c:pt idx="2">
                  <c:v>1.1759999999999999</c:v>
                </c:pt>
                <c:pt idx="3">
                  <c:v>1.2419354838709677</c:v>
                </c:pt>
                <c:pt idx="4">
                  <c:v>1.2775510204081633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C5-423A-A353-14E4B57B5015}"/>
            </c:ext>
          </c:extLst>
        </c:ser>
        <c:ser>
          <c:idx val="1"/>
          <c:order val="1"/>
          <c:tx>
            <c:strRef>
              <c:f>Tabelle1!$C$131</c:f>
              <c:strCache>
                <c:ptCount val="1"/>
                <c:pt idx="0">
                  <c:v>Grenzwert Drupo</c:v>
                </c:pt>
              </c:strCache>
            </c:strRef>
          </c:tx>
          <c:spPr>
            <a:ln w="25399">
              <a:solidFill>
                <a:srgbClr val="0000FF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Tabelle1!$A$132:$A$136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Tabelle1!$C$132:$C$136</c:f>
              <c:numCache>
                <c:formatCode>0.00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C5-423A-A353-14E4B57B5015}"/>
            </c:ext>
          </c:extLst>
        </c:ser>
        <c:ser>
          <c:idx val="2"/>
          <c:order val="2"/>
          <c:tx>
            <c:strRef>
              <c:f>Tabelle1!$D$131</c:f>
              <c:strCache>
                <c:ptCount val="1"/>
                <c:pt idx="0">
                  <c:v>Durchschnitt Garsten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Tabelle1!$A$132:$A$136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Tabelle1!$D$132:$D$136</c:f>
              <c:numCache>
                <c:formatCode>0.00</c:formatCode>
                <c:ptCount val="5"/>
                <c:pt idx="0">
                  <c:v>0.92715231788079466</c:v>
                </c:pt>
                <c:pt idx="1">
                  <c:v>0.93684210526315792</c:v>
                </c:pt>
                <c:pt idx="2">
                  <c:v>0.96190476190476193</c:v>
                </c:pt>
                <c:pt idx="3">
                  <c:v>0.9330357142857143</c:v>
                </c:pt>
                <c:pt idx="4">
                  <c:v>0.9285714285714286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C5-423A-A353-14E4B57B5015}"/>
            </c:ext>
          </c:extLst>
        </c:ser>
        <c:ser>
          <c:idx val="3"/>
          <c:order val="3"/>
          <c:tx>
            <c:strRef>
              <c:f>Tabelle1!$E$131</c:f>
              <c:strCache>
                <c:ptCount val="1"/>
                <c:pt idx="0">
                  <c:v>Grenzwert Garsten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Tabelle1!$A$132:$A$136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Tabelle1!$E$132:$E$136</c:f>
              <c:numCache>
                <c:formatCode>0.00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C5-423A-A353-14E4B57B5015}"/>
            </c:ext>
          </c:extLst>
        </c:ser>
        <c:ser>
          <c:idx val="4"/>
          <c:order val="4"/>
          <c:tx>
            <c:strRef>
              <c:f>Tabelle1!$F$131</c:f>
              <c:strCache>
                <c:ptCount val="1"/>
                <c:pt idx="0">
                  <c:v>Durchschnitt Sonstige</c:v>
                </c:pt>
              </c:strCache>
            </c:strRef>
          </c:tx>
          <c:spPr>
            <a:ln w="25399">
              <a:solidFill>
                <a:srgbClr val="00FF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Tabelle1!$A$132:$A$136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Tabelle1!$F$132:$F$136</c:f>
              <c:numCache>
                <c:formatCode>0.00</c:formatCode>
                <c:ptCount val="5"/>
                <c:pt idx="0">
                  <c:v>1.7142857142857142</c:v>
                </c:pt>
                <c:pt idx="1">
                  <c:v>1.7692307692307692</c:v>
                </c:pt>
                <c:pt idx="2">
                  <c:v>1.5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EC5-423A-A353-14E4B57B5015}"/>
            </c:ext>
          </c:extLst>
        </c:ser>
        <c:ser>
          <c:idx val="5"/>
          <c:order val="5"/>
          <c:tx>
            <c:strRef>
              <c:f>Tabelle1!$G$131</c:f>
              <c:strCache>
                <c:ptCount val="1"/>
                <c:pt idx="0">
                  <c:v>Grenzwert Sonstige</c:v>
                </c:pt>
              </c:strCache>
            </c:strRef>
          </c:tx>
          <c:spPr>
            <a:ln w="25399">
              <a:solidFill>
                <a:srgbClr val="00FF00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Tabelle1!$A$132:$A$136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Tabelle1!$G$132:$G$136</c:f>
              <c:numCache>
                <c:formatCode>General</c:formatCode>
                <c:ptCount val="5"/>
                <c:pt idx="0">
                  <c:v>1.75</c:v>
                </c:pt>
                <c:pt idx="1">
                  <c:v>1.75</c:v>
                </c:pt>
                <c:pt idx="2">
                  <c:v>1.75</c:v>
                </c:pt>
                <c:pt idx="3">
                  <c:v>1.75</c:v>
                </c:pt>
                <c:pt idx="4">
                  <c:v>1.75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C5-423A-A353-14E4B57B50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8443384"/>
        <c:axId val="158443776"/>
      </c:lineChart>
      <c:catAx>
        <c:axId val="15844338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8867924528301887"/>
              <c:y val="0.7719298245614034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3776"/>
        <c:scaling>
          <c:orientation val="minMax"/>
          <c:max val="2"/>
          <c:min val="0.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Wert</a:t>
                </a:r>
              </a:p>
            </c:rich>
          </c:tx>
          <c:layout>
            <c:manualLayout>
              <c:xMode val="edge"/>
              <c:yMode val="edge"/>
              <c:x val="2.0754716981132074E-2"/>
              <c:y val="0.38596491228070173"/>
            </c:manualLayout>
          </c:layout>
          <c:overlay val="0"/>
          <c:spPr>
            <a:noFill/>
            <a:ln w="25399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3384"/>
        <c:crosses val="autoZero"/>
        <c:crossBetween val="between"/>
        <c:majorUnit val="0.1"/>
        <c:minorUnit val="0.0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0566037735849058"/>
          <c:y val="0.88771929824561402"/>
          <c:w val="0.66603773584905657"/>
          <c:h val="0.1017543859649122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Reklamation Konfektionäre</a:t>
            </a:r>
          </a:p>
        </c:rich>
      </c:tx>
      <c:layout>
        <c:manualLayout>
          <c:xMode val="edge"/>
          <c:yMode val="edge"/>
          <c:x val="0.367003367003367"/>
          <c:y val="1.98863636363636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6936026936027"/>
          <c:y val="0.16193181818181818"/>
          <c:w val="0.88215488215488214"/>
          <c:h val="0.5454545454545454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Tabelle1!$B$169</c:f>
              <c:strCache>
                <c:ptCount val="1"/>
                <c:pt idx="0">
                  <c:v>Anzahl Drupo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Tabelle1!$A$170:$A$174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Tabelle1!$B$170:$B$174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35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5C-446C-BF29-66725FDC5763}"/>
            </c:ext>
          </c:extLst>
        </c:ser>
        <c:ser>
          <c:idx val="1"/>
          <c:order val="1"/>
          <c:tx>
            <c:strRef>
              <c:f>Tabelle1!$C$169</c:f>
              <c:strCache>
                <c:ptCount val="1"/>
                <c:pt idx="0">
                  <c:v>Grenzwert Drupo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Tabelle1!$A$170:$A$174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Tabelle1!$C$170:$C$174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5C-446C-BF29-66725FDC5763}"/>
            </c:ext>
          </c:extLst>
        </c:ser>
        <c:ser>
          <c:idx val="2"/>
          <c:order val="2"/>
          <c:tx>
            <c:strRef>
              <c:f>Tabelle1!$D$169</c:f>
              <c:strCache>
                <c:ptCount val="1"/>
                <c:pt idx="0">
                  <c:v>Anzahl Garsten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Tabelle1!$A$170:$A$174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Tabelle1!$D$170:$D$174</c:f>
              <c:numCache>
                <c:formatCode>General</c:formatCode>
                <c:ptCount val="5"/>
                <c:pt idx="0">
                  <c:v>27</c:v>
                </c:pt>
                <c:pt idx="1">
                  <c:v>17</c:v>
                </c:pt>
                <c:pt idx="2">
                  <c:v>10</c:v>
                </c:pt>
                <c:pt idx="3">
                  <c:v>0</c:v>
                </c:pt>
                <c:pt idx="4">
                  <c:v>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5C-446C-BF29-66725FDC5763}"/>
            </c:ext>
          </c:extLst>
        </c:ser>
        <c:ser>
          <c:idx val="3"/>
          <c:order val="3"/>
          <c:tx>
            <c:strRef>
              <c:f>Tabelle1!$E$169</c:f>
              <c:strCache>
                <c:ptCount val="1"/>
                <c:pt idx="0">
                  <c:v>Grenzwert Garsten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Tabelle1!$A$170:$A$174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Tabelle1!$E$170:$E$174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85C-446C-BF29-66725FDC5763}"/>
            </c:ext>
          </c:extLst>
        </c:ser>
        <c:ser>
          <c:idx val="4"/>
          <c:order val="4"/>
          <c:tx>
            <c:strRef>
              <c:f>Tabelle1!$F$169</c:f>
              <c:strCache>
                <c:ptCount val="1"/>
                <c:pt idx="0">
                  <c:v>Anzahl Sonstige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Tabelle1!$A$170:$A$174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Tabelle1!$F$170:$F$174</c:f>
              <c:numCache>
                <c:formatCode>General</c:formatCode>
                <c:ptCount val="5"/>
                <c:pt idx="0">
                  <c:v>3</c:v>
                </c:pt>
                <c:pt idx="1">
                  <c:v>40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85C-446C-BF29-66725FDC5763}"/>
            </c:ext>
          </c:extLst>
        </c:ser>
        <c:ser>
          <c:idx val="5"/>
          <c:order val="5"/>
          <c:tx>
            <c:strRef>
              <c:f>Tabelle1!$G$169</c:f>
              <c:strCache>
                <c:ptCount val="1"/>
                <c:pt idx="0">
                  <c:v>Grenzwert Sonstige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ysDash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Tabelle1!$A$170:$A$174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Tabelle1!$G$170:$G$174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85C-446C-BF29-66725FDC57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8444560"/>
        <c:axId val="158444952"/>
      </c:lineChart>
      <c:catAx>
        <c:axId val="1584445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9663299663299665"/>
              <c:y val="0.781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4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49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Anzahl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7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4560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845117845117844"/>
          <c:y val="0.875"/>
          <c:w val="0.72558922558922556"/>
          <c:h val="0.116477272727272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Entwicklungserfolge</a:t>
            </a:r>
          </a:p>
        </c:rich>
      </c:tx>
      <c:layout>
        <c:manualLayout>
          <c:xMode val="edge"/>
          <c:yMode val="edge"/>
          <c:x val="0.40067340067340068"/>
          <c:y val="2.074688796680497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909090909090912E-2"/>
          <c:y val="0.2033195020746888"/>
          <c:w val="0.89393939393939392"/>
          <c:h val="0.531120331950207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Tabelle1!$B$211</c:f>
              <c:strCache>
                <c:ptCount val="1"/>
                <c:pt idx="0">
                  <c:v>Faktor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Tabelle1!$A$212:$A$216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Tabelle1!$B$212:$B$216</c:f>
              <c:numCache>
                <c:formatCode>0.00</c:formatCode>
                <c:ptCount val="5"/>
                <c:pt idx="0">
                  <c:v>115.63636363636364</c:v>
                </c:pt>
                <c:pt idx="1">
                  <c:v>139.375</c:v>
                </c:pt>
                <c:pt idx="2">
                  <c:v>111.5</c:v>
                </c:pt>
                <c:pt idx="3">
                  <c:v>128.6</c:v>
                </c:pt>
                <c:pt idx="4">
                  <c:v>117.8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C-49AD-9965-78BDB072EFAD}"/>
            </c:ext>
          </c:extLst>
        </c:ser>
        <c:ser>
          <c:idx val="1"/>
          <c:order val="1"/>
          <c:tx>
            <c:strRef>
              <c:f>Tabelle1!$C$211</c:f>
              <c:strCache>
                <c:ptCount val="1"/>
                <c:pt idx="0">
                  <c:v>SOLL Wert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Tabelle1!$A$212:$A$216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Tabelle1!$C$212:$C$216</c:f>
              <c:numCache>
                <c:formatCode>General</c:formatCode>
                <c:ptCount val="5"/>
                <c:pt idx="0">
                  <c:v>150</c:v>
                </c:pt>
                <c:pt idx="1">
                  <c:v>150</c:v>
                </c:pt>
                <c:pt idx="2">
                  <c:v>150</c:v>
                </c:pt>
                <c:pt idx="3">
                  <c:v>150</c:v>
                </c:pt>
                <c:pt idx="4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7C-49AD-9965-78BDB072EF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445736"/>
        <c:axId val="158446128"/>
      </c:barChart>
      <c:catAx>
        <c:axId val="15844573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5"/>
              <c:y val="0.80912863070539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6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6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Faktor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9834024896265557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5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6296296296296297"/>
          <c:y val="0.92116182572614103"/>
          <c:w val="0.14478114478114479"/>
          <c:h val="6.639004149377593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Nacharbeiten und Ausschuss</a:t>
            </a:r>
          </a:p>
        </c:rich>
      </c:tx>
      <c:layout>
        <c:manualLayout>
          <c:xMode val="edge"/>
          <c:yMode val="edge"/>
          <c:x val="0.36026936026936029"/>
          <c:y val="2.10084033613445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75757575757576E-2"/>
          <c:y val="0.20588235294117646"/>
          <c:w val="0.90909090909090906"/>
          <c:h val="0.52521008403361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Tabelle1!$B$245</c:f>
              <c:strCache>
                <c:ptCount val="1"/>
                <c:pt idx="0">
                  <c:v>SOLL Wert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Tabelle1!$A$246:$A$250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Tabelle1!$B$246:$B$250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57-409A-8EC8-26FDE02D5D16}"/>
            </c:ext>
          </c:extLst>
        </c:ser>
        <c:ser>
          <c:idx val="1"/>
          <c:order val="1"/>
          <c:tx>
            <c:strRef>
              <c:f>Tabelle1!$C$245</c:f>
              <c:strCache>
                <c:ptCount val="1"/>
                <c:pt idx="0">
                  <c:v>Anzahl der nachbearbeiteten Teile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Tabelle1!$A$246:$A$250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Tabelle1!$C$246:$C$250</c:f>
              <c:numCache>
                <c:formatCode>General</c:formatCode>
                <c:ptCount val="5"/>
                <c:pt idx="0">
                  <c:v>67</c:v>
                </c:pt>
                <c:pt idx="1">
                  <c:v>756</c:v>
                </c:pt>
                <c:pt idx="2">
                  <c:v>161</c:v>
                </c:pt>
                <c:pt idx="3">
                  <c:v>71</c:v>
                </c:pt>
                <c:pt idx="4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57-409A-8EC8-26FDE02D5D16}"/>
            </c:ext>
          </c:extLst>
        </c:ser>
        <c:ser>
          <c:idx val="2"/>
          <c:order val="2"/>
          <c:tx>
            <c:strRef>
              <c:f>Tabelle1!$D$245</c:f>
              <c:strCache>
                <c:ptCount val="1"/>
                <c:pt idx="0">
                  <c:v>SOLL Wert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Tabelle1!$A$246:$A$250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Tabelle1!$D$246:$D$250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57-409A-8EC8-26FDE02D5D16}"/>
            </c:ext>
          </c:extLst>
        </c:ser>
        <c:ser>
          <c:idx val="3"/>
          <c:order val="3"/>
          <c:tx>
            <c:strRef>
              <c:f>Tabelle1!$E$245</c:f>
              <c:strCache>
                <c:ptCount val="1"/>
                <c:pt idx="0">
                  <c:v>Anzahl der Ausschussteile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5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Tabelle1!$A$246:$A$250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Tabelle1!$E$246:$E$250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19</c:v>
                </c:pt>
                <c:pt idx="3">
                  <c:v>83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57-409A-8EC8-26FDE02D5D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446912"/>
        <c:axId val="158447304"/>
      </c:barChart>
      <c:catAx>
        <c:axId val="1584469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49326599326599324"/>
              <c:y val="0.8067226890756302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7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7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Stück</a:t>
                </a:r>
              </a:p>
            </c:rich>
          </c:tx>
          <c:layout>
            <c:manualLayout>
              <c:xMode val="edge"/>
              <c:yMode val="edge"/>
              <c:x val="1.8518518518518517E-2"/>
              <c:y val="0.39915966386554624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691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925925925925924"/>
          <c:y val="0.92016806722689071"/>
          <c:w val="0.53703703703703709"/>
          <c:h val="6.722689075630251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Bestellwert je Lieferantenstatus</a:t>
            </a:r>
          </a:p>
        </c:rich>
      </c:tx>
      <c:layout>
        <c:manualLayout>
          <c:xMode val="edge"/>
          <c:yMode val="edge"/>
          <c:x val="0.34621848739495797"/>
          <c:y val="2.040816326530612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53781512605043"/>
          <c:y val="0.15451895043731778"/>
          <c:w val="0.84033613445378152"/>
          <c:h val="0.56851311953352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Tabelle1!$B$279</c:f>
              <c:strCache>
                <c:ptCount val="1"/>
                <c:pt idx="0">
                  <c:v>durchschnittlicher Bestellwert je A-Lieferant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Tabelle1!$A$280:$A$284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Tabelle1!$B$280:$B$284</c:f>
              <c:numCache>
                <c:formatCode>_("€"* #,##0.00_);_("€"* \(#,##0.00\);_("€"* "-"??_);_(@_)</c:formatCode>
                <c:ptCount val="5"/>
                <c:pt idx="0">
                  <c:v>9618.6439130434774</c:v>
                </c:pt>
                <c:pt idx="1">
                  <c:v>9803.4291891891899</c:v>
                </c:pt>
                <c:pt idx="2">
                  <c:v>11726.470000000001</c:v>
                </c:pt>
                <c:pt idx="3">
                  <c:v>7714.8095999999996</c:v>
                </c:pt>
                <c:pt idx="4">
                  <c:v>9178.4219230769231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A-4618-8E77-5BCFEEC35097}"/>
            </c:ext>
          </c:extLst>
        </c:ser>
        <c:ser>
          <c:idx val="1"/>
          <c:order val="1"/>
          <c:tx>
            <c:strRef>
              <c:f>Tabelle1!$C$279</c:f>
              <c:strCache>
                <c:ptCount val="1"/>
                <c:pt idx="0">
                  <c:v>durchschnittlicher Bestellwert je B-Lieferant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Tabelle1!$A$280:$A$284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Tabelle1!$C$280:$C$284</c:f>
              <c:numCache>
                <c:formatCode>_("€"* #,##0.00_);_("€"* \(#,##0.00\);_("€"* "-"??_);_(@_)</c:formatCode>
                <c:ptCount val="5"/>
                <c:pt idx="0">
                  <c:v>4265.3187500000004</c:v>
                </c:pt>
                <c:pt idx="1">
                  <c:v>6216.8300000000008</c:v>
                </c:pt>
                <c:pt idx="2">
                  <c:v>4436.16</c:v>
                </c:pt>
                <c:pt idx="3">
                  <c:v>5441.0640000000003</c:v>
                </c:pt>
                <c:pt idx="4">
                  <c:v>3787.4237499999999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FA-4618-8E77-5BCFEEC35097}"/>
            </c:ext>
          </c:extLst>
        </c:ser>
        <c:ser>
          <c:idx val="2"/>
          <c:order val="2"/>
          <c:tx>
            <c:strRef>
              <c:f>Tabelle1!$D$279</c:f>
              <c:strCache>
                <c:ptCount val="1"/>
                <c:pt idx="0">
                  <c:v>durchschnittlicher Bestellwert je C-Lieferant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Tabelle1!$A$280:$A$284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Tabelle1!$D$280:$D$284</c:f>
              <c:numCache>
                <c:formatCode>_("€"* #,##0.00_);_("€"* \(#,##0.00\);_("€"* "-"??_);_(@_)</c:formatCode>
                <c:ptCount val="5"/>
                <c:pt idx="0">
                  <c:v>1197.0250000000001</c:v>
                </c:pt>
                <c:pt idx="1">
                  <c:v>1350.835</c:v>
                </c:pt>
                <c:pt idx="2">
                  <c:v>2557.1833333333334</c:v>
                </c:pt>
                <c:pt idx="3">
                  <c:v>1431.1424999999999</c:v>
                </c:pt>
                <c:pt idx="4">
                  <c:v>396.48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FA-4618-8E77-5BCFEEC35097}"/>
            </c:ext>
          </c:extLst>
        </c:ser>
        <c:ser>
          <c:idx val="3"/>
          <c:order val="3"/>
          <c:tx>
            <c:strRef>
              <c:f>Tabelle1!$E$279</c:f>
              <c:strCache>
                <c:ptCount val="1"/>
                <c:pt idx="0">
                  <c:v>durchschnittlicher Bestellwert je S-Lieferant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Tabelle1!$A$280:$A$284</c:f>
              <c:strCache>
                <c:ptCount val="5"/>
                <c:pt idx="0">
                  <c:v>I-VI 2009</c:v>
                </c:pt>
                <c:pt idx="1">
                  <c:v>VII-XII 2009</c:v>
                </c:pt>
                <c:pt idx="2">
                  <c:v>I-VI 2010</c:v>
                </c:pt>
                <c:pt idx="3">
                  <c:v>VII-XII 2010</c:v>
                </c:pt>
                <c:pt idx="4">
                  <c:v>I-VI 2011</c:v>
                </c:pt>
              </c:strCache>
            </c:strRef>
          </c:cat>
          <c:val>
            <c:numRef>
              <c:f>Tabelle1!$E$280:$E$284</c:f>
              <c:numCache>
                <c:formatCode>_("€"* #,##0.00_);_("€"* \(#,##0.00\);_("€"* "-"??_);_(@_)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FA-4618-8E77-5BCFEEC35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48088"/>
        <c:axId val="158448480"/>
      </c:barChart>
      <c:catAx>
        <c:axId val="1584480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Zeitraum</a:t>
                </a:r>
              </a:p>
            </c:rich>
          </c:tx>
          <c:layout>
            <c:manualLayout>
              <c:xMode val="edge"/>
              <c:yMode val="edge"/>
              <c:x val="0.51764705882352946"/>
              <c:y val="0.7755102040816326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448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AT"/>
                  <a:t>Wert</a:t>
                </a:r>
              </a:p>
            </c:rich>
          </c:tx>
          <c:layout>
            <c:manualLayout>
              <c:xMode val="edge"/>
              <c:yMode val="edge"/>
              <c:x val="1.8487394957983194E-2"/>
              <c:y val="0.39067055393586003"/>
            </c:manualLayout>
          </c:layout>
          <c:overlay val="0"/>
          <c:spPr>
            <a:noFill/>
            <a:ln w="25399">
              <a:noFill/>
            </a:ln>
          </c:spPr>
        </c:title>
        <c:numFmt formatCode="_(&quot;€&quot;* #,##0.00_);_(&quot;€&quot;* \(#,##0.00\);_(&quot;€&quot;* &quot;-&quot;??_);_(@_)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448088"/>
        <c:crosses val="autoZero"/>
        <c:crossBetween val="between"/>
        <c:majorUnit val="2000"/>
        <c:minorUnit val="50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815126050420169"/>
          <c:y val="0.8717201166180758"/>
          <c:w val="0.76974789915966391"/>
          <c:h val="0.11953352769679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Zweck</vt:lpstr>
    </vt:vector>
  </TitlesOfParts>
  <Company>private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Zweck</dc:title>
  <dc:creator>ocw</dc:creator>
  <cp:lastModifiedBy>Andrea Kraus</cp:lastModifiedBy>
  <cp:revision>5</cp:revision>
  <cp:lastPrinted>2011-07-12T08:57:00Z</cp:lastPrinted>
  <dcterms:created xsi:type="dcterms:W3CDTF">2016-12-05T13:23:00Z</dcterms:created>
  <dcterms:modified xsi:type="dcterms:W3CDTF">2016-12-05T13:25:00Z</dcterms:modified>
</cp:coreProperties>
</file>